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EB" w:rsidRPr="00B855AE" w:rsidRDefault="00B855AE">
      <w:pPr>
        <w:rPr>
          <w:rFonts w:ascii="Arial" w:hAnsi="Arial" w:cs="Arial"/>
          <w:b/>
          <w:sz w:val="28"/>
          <w:szCs w:val="28"/>
        </w:rPr>
      </w:pPr>
      <w:r w:rsidRPr="00B855AE">
        <w:rPr>
          <w:rFonts w:ascii="Arial" w:hAnsi="Arial" w:cs="Arial"/>
          <w:b/>
          <w:sz w:val="28"/>
          <w:szCs w:val="28"/>
        </w:rPr>
        <w:t>Climate change and energy security – our risks and responsibilities</w:t>
      </w:r>
    </w:p>
    <w:p w:rsidR="001F3B9A" w:rsidRDefault="001F3B9A" w:rsidP="00B855AE">
      <w:pPr>
        <w:spacing w:line="240" w:lineRule="auto"/>
        <w:rPr>
          <w:rFonts w:ascii="Arial" w:hAnsi="Arial" w:cs="Arial"/>
        </w:rPr>
      </w:pPr>
    </w:p>
    <w:p w:rsidR="00D67B61" w:rsidRPr="00D67B61" w:rsidRDefault="00D67B61" w:rsidP="00B855AE">
      <w:pPr>
        <w:spacing w:line="240" w:lineRule="auto"/>
        <w:rPr>
          <w:rFonts w:ascii="Arial" w:hAnsi="Arial" w:cs="Arial"/>
          <w:b/>
        </w:rPr>
      </w:pPr>
      <w:r w:rsidRPr="00D67B61">
        <w:rPr>
          <w:rFonts w:ascii="Arial" w:hAnsi="Arial" w:cs="Arial"/>
          <w:b/>
        </w:rPr>
        <w:t xml:space="preserve">ROSS RUTHERFORD </w:t>
      </w:r>
      <w:proofErr w:type="gramStart"/>
      <w:r w:rsidRPr="00D67B61">
        <w:rPr>
          <w:rFonts w:ascii="Arial" w:hAnsi="Arial" w:cs="Arial"/>
          <w:b/>
        </w:rPr>
        <w:t>BSc(</w:t>
      </w:r>
      <w:proofErr w:type="spellStart"/>
      <w:proofErr w:type="gramEnd"/>
      <w:r w:rsidRPr="00D67B61">
        <w:rPr>
          <w:rFonts w:ascii="Arial" w:hAnsi="Arial" w:cs="Arial"/>
          <w:b/>
        </w:rPr>
        <w:t>Hons</w:t>
      </w:r>
      <w:proofErr w:type="spellEnd"/>
      <w:r w:rsidRPr="00D67B61">
        <w:rPr>
          <w:rFonts w:ascii="Arial" w:hAnsi="Arial" w:cs="Arial"/>
          <w:b/>
        </w:rPr>
        <w:t xml:space="preserve">) MSc MIPENZ </w:t>
      </w:r>
      <w:proofErr w:type="spellStart"/>
      <w:r w:rsidRPr="00D67B61">
        <w:rPr>
          <w:rFonts w:ascii="Arial" w:hAnsi="Arial" w:cs="Arial"/>
          <w:b/>
        </w:rPr>
        <w:t>CPEng</w:t>
      </w:r>
      <w:proofErr w:type="spellEnd"/>
      <w:r w:rsidRPr="00D67B61">
        <w:rPr>
          <w:rFonts w:ascii="Arial" w:hAnsi="Arial" w:cs="Arial"/>
          <w:b/>
        </w:rPr>
        <w:t xml:space="preserve"> CEng(UK)</w:t>
      </w:r>
    </w:p>
    <w:p w:rsidR="00D67B61" w:rsidRDefault="00D67B61" w:rsidP="00B855AE">
      <w:pPr>
        <w:spacing w:line="240" w:lineRule="auto"/>
        <w:rPr>
          <w:rFonts w:ascii="Arial" w:hAnsi="Arial" w:cs="Arial"/>
        </w:rPr>
      </w:pPr>
      <w:r>
        <w:rPr>
          <w:rFonts w:ascii="Arial" w:hAnsi="Arial" w:cs="Arial"/>
        </w:rPr>
        <w:t>Director</w:t>
      </w:r>
    </w:p>
    <w:p w:rsidR="00D67B61" w:rsidRDefault="00D67B61" w:rsidP="00B855AE">
      <w:pPr>
        <w:spacing w:line="240" w:lineRule="auto"/>
        <w:rPr>
          <w:rFonts w:ascii="Arial" w:hAnsi="Arial" w:cs="Arial"/>
        </w:rPr>
      </w:pPr>
      <w:r>
        <w:rPr>
          <w:rFonts w:ascii="Arial" w:hAnsi="Arial" w:cs="Arial"/>
        </w:rPr>
        <w:t>Transport Planning Solutions</w:t>
      </w:r>
    </w:p>
    <w:p w:rsidR="00D67B61" w:rsidRDefault="00D67B61" w:rsidP="00B855AE">
      <w:pPr>
        <w:spacing w:line="240" w:lineRule="auto"/>
        <w:rPr>
          <w:rFonts w:ascii="Arial" w:hAnsi="Arial" w:cs="Arial"/>
        </w:rPr>
      </w:pPr>
      <w:r>
        <w:rPr>
          <w:rFonts w:ascii="Arial" w:hAnsi="Arial" w:cs="Arial"/>
        </w:rPr>
        <w:t>ross.rutherford@ihug.co.nz</w:t>
      </w:r>
    </w:p>
    <w:p w:rsidR="00D67B61" w:rsidRDefault="00D67B61" w:rsidP="00B855AE">
      <w:pPr>
        <w:spacing w:line="240" w:lineRule="auto"/>
        <w:rPr>
          <w:rFonts w:ascii="Arial" w:hAnsi="Arial" w:cs="Arial"/>
        </w:rPr>
      </w:pPr>
    </w:p>
    <w:p w:rsidR="00A27A9E" w:rsidRDefault="00A27A9E" w:rsidP="00B855AE">
      <w:pPr>
        <w:spacing w:line="240" w:lineRule="auto"/>
        <w:rPr>
          <w:rFonts w:ascii="Arial" w:hAnsi="Arial" w:cs="Arial"/>
        </w:rPr>
      </w:pPr>
    </w:p>
    <w:p w:rsidR="00D67B61" w:rsidRPr="00D67B61" w:rsidRDefault="00D67B61" w:rsidP="00B855AE">
      <w:pPr>
        <w:spacing w:line="240" w:lineRule="auto"/>
        <w:rPr>
          <w:rFonts w:ascii="Arial" w:hAnsi="Arial" w:cs="Arial"/>
          <w:b/>
          <w:sz w:val="28"/>
          <w:szCs w:val="28"/>
        </w:rPr>
      </w:pPr>
      <w:r w:rsidRPr="00D67B61">
        <w:rPr>
          <w:rFonts w:ascii="Arial" w:hAnsi="Arial" w:cs="Arial"/>
          <w:b/>
          <w:sz w:val="28"/>
          <w:szCs w:val="28"/>
        </w:rPr>
        <w:t>ABSTRACT</w:t>
      </w:r>
    </w:p>
    <w:p w:rsidR="00D67B61" w:rsidRDefault="00A93A74" w:rsidP="00F31C3F">
      <w:pPr>
        <w:spacing w:line="240" w:lineRule="auto"/>
        <w:ind w:left="720"/>
        <w:rPr>
          <w:rFonts w:ascii="Arial" w:hAnsi="Arial" w:cs="Arial"/>
        </w:rPr>
      </w:pPr>
      <w:r>
        <w:rPr>
          <w:rFonts w:ascii="Arial" w:hAnsi="Arial" w:cs="Arial"/>
        </w:rPr>
        <w:t xml:space="preserve">New Zealand’s national transport sector and </w:t>
      </w:r>
      <w:r w:rsidR="0024603A">
        <w:rPr>
          <w:rFonts w:ascii="Arial" w:hAnsi="Arial" w:cs="Arial"/>
        </w:rPr>
        <w:t>its urban transport networks</w:t>
      </w:r>
      <w:r>
        <w:rPr>
          <w:rFonts w:ascii="Arial" w:hAnsi="Arial" w:cs="Arial"/>
        </w:rPr>
        <w:t xml:space="preserve"> are heavily reliant on imported fossil fuels. This paper outlines </w:t>
      </w:r>
      <w:r w:rsidR="0024603A">
        <w:rPr>
          <w:rFonts w:ascii="Arial" w:hAnsi="Arial" w:cs="Arial"/>
        </w:rPr>
        <w:t xml:space="preserve">some of the risks inherent in that reliance. These result from increasing concerns over the potential impacts of climate change, and our geographic location at the end of a long supply chain originating in politically volatile regions. Actions to mitigate climate change and its potential </w:t>
      </w:r>
      <w:proofErr w:type="gramStart"/>
      <w:r w:rsidR="0024603A">
        <w:rPr>
          <w:rFonts w:ascii="Arial" w:hAnsi="Arial" w:cs="Arial"/>
        </w:rPr>
        <w:t>effects,</w:t>
      </w:r>
      <w:proofErr w:type="gramEnd"/>
      <w:r w:rsidR="0024603A">
        <w:rPr>
          <w:rFonts w:ascii="Arial" w:hAnsi="Arial" w:cs="Arial"/>
        </w:rPr>
        <w:t xml:space="preserve"> and to reduce our dependency on imported crude oil and fossil fuels are identified</w:t>
      </w:r>
      <w:r w:rsidR="00295C0D">
        <w:rPr>
          <w:rFonts w:ascii="Arial" w:hAnsi="Arial" w:cs="Arial"/>
        </w:rPr>
        <w:t>. These include suggested changes to national policies, alternative fuel options, travel demand management including pricing, and</w:t>
      </w:r>
      <w:r w:rsidR="004B770B">
        <w:rPr>
          <w:rFonts w:ascii="Arial" w:hAnsi="Arial" w:cs="Arial"/>
        </w:rPr>
        <w:t xml:space="preserve"> associated</w:t>
      </w:r>
      <w:r w:rsidR="00295C0D">
        <w:rPr>
          <w:rFonts w:ascii="Arial" w:hAnsi="Arial" w:cs="Arial"/>
        </w:rPr>
        <w:t xml:space="preserve"> changes to strategic planning assumptions and targets.</w:t>
      </w:r>
      <w:r w:rsidR="00D54D8C">
        <w:rPr>
          <w:rFonts w:ascii="Arial" w:hAnsi="Arial" w:cs="Arial"/>
        </w:rPr>
        <w:t xml:space="preserve"> It is hoped that the paper will encourage other transport professionals and the IPENZ Transportation Group to take action in recognition of the seriousness of the issues identified.</w:t>
      </w:r>
      <w:r w:rsidR="00295C0D">
        <w:rPr>
          <w:rFonts w:ascii="Arial" w:hAnsi="Arial" w:cs="Arial"/>
        </w:rPr>
        <w:t xml:space="preserve">  </w:t>
      </w:r>
    </w:p>
    <w:p w:rsidR="00D67B61" w:rsidRDefault="00D67B61" w:rsidP="00B855AE">
      <w:pPr>
        <w:spacing w:line="240" w:lineRule="auto"/>
        <w:rPr>
          <w:rFonts w:ascii="Arial" w:hAnsi="Arial" w:cs="Arial"/>
        </w:rPr>
      </w:pPr>
    </w:p>
    <w:p w:rsidR="00D67B61" w:rsidRDefault="00D67B61" w:rsidP="00B855AE">
      <w:pPr>
        <w:spacing w:line="240" w:lineRule="auto"/>
        <w:rPr>
          <w:rFonts w:ascii="Arial" w:hAnsi="Arial" w:cs="Arial"/>
        </w:rPr>
      </w:pPr>
    </w:p>
    <w:p w:rsidR="00D67B61" w:rsidRDefault="00D67B61" w:rsidP="00B855AE">
      <w:pPr>
        <w:spacing w:line="240" w:lineRule="auto"/>
        <w:rPr>
          <w:rFonts w:ascii="Arial" w:hAnsi="Arial" w:cs="Arial"/>
        </w:rPr>
      </w:pPr>
    </w:p>
    <w:p w:rsidR="00D67B61" w:rsidRDefault="00D67B61" w:rsidP="00B855AE">
      <w:pPr>
        <w:spacing w:line="240" w:lineRule="auto"/>
        <w:rPr>
          <w:rFonts w:ascii="Arial" w:hAnsi="Arial" w:cs="Arial"/>
        </w:rPr>
      </w:pPr>
    </w:p>
    <w:p w:rsidR="00D67B61" w:rsidRDefault="00D67B61" w:rsidP="00B855AE">
      <w:pPr>
        <w:spacing w:line="240" w:lineRule="auto"/>
        <w:rPr>
          <w:rFonts w:ascii="Arial" w:hAnsi="Arial" w:cs="Arial"/>
        </w:rPr>
        <w:sectPr w:rsidR="00D67B61" w:rsidSect="00D752AA">
          <w:headerReference w:type="default" r:id="rId8"/>
          <w:footerReference w:type="default" r:id="rId9"/>
          <w:pgSz w:w="11906" w:h="16838" w:code="9"/>
          <w:pgMar w:top="1134" w:right="1134" w:bottom="1134" w:left="1134" w:header="709" w:footer="709" w:gutter="0"/>
          <w:pgNumType w:start="0"/>
          <w:cols w:space="708"/>
          <w:titlePg/>
          <w:docGrid w:linePitch="360"/>
        </w:sectPr>
      </w:pPr>
    </w:p>
    <w:p w:rsidR="00CE691A" w:rsidRDefault="00CE691A" w:rsidP="00B855AE">
      <w:pPr>
        <w:spacing w:line="240" w:lineRule="auto"/>
        <w:rPr>
          <w:rFonts w:ascii="Arial" w:hAnsi="Arial" w:cs="Arial"/>
        </w:rPr>
      </w:pPr>
    </w:p>
    <w:p w:rsidR="00CF2574" w:rsidRPr="00D67B61" w:rsidRDefault="00D67B61" w:rsidP="00D12355">
      <w:pPr>
        <w:spacing w:after="220" w:line="240" w:lineRule="auto"/>
        <w:rPr>
          <w:rFonts w:ascii="Arial" w:hAnsi="Arial" w:cs="Arial"/>
          <w:b/>
          <w:caps/>
          <w:sz w:val="28"/>
          <w:szCs w:val="28"/>
        </w:rPr>
      </w:pPr>
      <w:r w:rsidRPr="00D67B61">
        <w:rPr>
          <w:rFonts w:ascii="Arial" w:hAnsi="Arial" w:cs="Arial"/>
          <w:b/>
          <w:caps/>
          <w:sz w:val="28"/>
          <w:szCs w:val="28"/>
        </w:rPr>
        <w:t>1.</w:t>
      </w:r>
      <w:r w:rsidRPr="00D67B61">
        <w:rPr>
          <w:rFonts w:ascii="Arial" w:hAnsi="Arial" w:cs="Arial"/>
          <w:b/>
          <w:caps/>
          <w:sz w:val="28"/>
          <w:szCs w:val="28"/>
        </w:rPr>
        <w:tab/>
      </w:r>
      <w:r w:rsidR="00CF2574" w:rsidRPr="00D67B61">
        <w:rPr>
          <w:rFonts w:ascii="Arial" w:hAnsi="Arial" w:cs="Arial"/>
          <w:b/>
          <w:caps/>
          <w:sz w:val="28"/>
          <w:szCs w:val="28"/>
        </w:rPr>
        <w:t>Introduction</w:t>
      </w:r>
    </w:p>
    <w:p w:rsidR="00217CD4" w:rsidRPr="007E4C6F" w:rsidRDefault="00217CD4" w:rsidP="00217CD4">
      <w:pPr>
        <w:spacing w:after="220" w:line="240" w:lineRule="auto"/>
        <w:rPr>
          <w:rFonts w:ascii="Arial" w:hAnsi="Arial" w:cs="Arial"/>
        </w:rPr>
      </w:pPr>
      <w:r>
        <w:rPr>
          <w:rFonts w:ascii="Arial" w:hAnsi="Arial" w:cs="Arial"/>
        </w:rPr>
        <w:t>Our transport system is heavily reliant on fossil fuels which are major contributors to greenhouse gas emissions</w:t>
      </w:r>
      <w:r w:rsidR="00CC15A3">
        <w:rPr>
          <w:rFonts w:ascii="Arial" w:hAnsi="Arial" w:cs="Arial"/>
        </w:rPr>
        <w:t xml:space="preserve"> (GHG)</w:t>
      </w:r>
      <w:r>
        <w:rPr>
          <w:rFonts w:ascii="Arial" w:hAnsi="Arial" w:cs="Arial"/>
        </w:rPr>
        <w:t xml:space="preserve">. </w:t>
      </w:r>
      <w:r w:rsidRPr="006A2A54">
        <w:rPr>
          <w:rFonts w:ascii="Arial" w:hAnsi="Arial" w:cs="Arial"/>
        </w:rPr>
        <w:t>Our urban areas are highly dependent on car travel</w:t>
      </w:r>
      <w:r>
        <w:rPr>
          <w:rFonts w:ascii="Arial" w:hAnsi="Arial" w:cs="Arial"/>
        </w:rPr>
        <w:t xml:space="preserve"> and hence on the availability and use of petrol and diesel. D</w:t>
      </w:r>
      <w:r w:rsidRPr="006A2A54">
        <w:rPr>
          <w:rFonts w:ascii="Arial" w:hAnsi="Arial" w:cs="Arial"/>
        </w:rPr>
        <w:t>iesel is</w:t>
      </w:r>
      <w:r>
        <w:rPr>
          <w:rFonts w:ascii="Arial" w:hAnsi="Arial" w:cs="Arial"/>
        </w:rPr>
        <w:t xml:space="preserve"> also</w:t>
      </w:r>
      <w:r w:rsidRPr="006A2A54">
        <w:rPr>
          <w:rFonts w:ascii="Arial" w:hAnsi="Arial" w:cs="Arial"/>
        </w:rPr>
        <w:t xml:space="preserve"> essential to the movement of freight.</w:t>
      </w:r>
      <w:r>
        <w:rPr>
          <w:rFonts w:ascii="Arial" w:hAnsi="Arial" w:cs="Arial"/>
        </w:rPr>
        <w:t xml:space="preserve"> </w:t>
      </w:r>
    </w:p>
    <w:p w:rsidR="00217CD4" w:rsidRDefault="00217CD4" w:rsidP="007E4C6F">
      <w:pPr>
        <w:spacing w:after="220" w:line="240" w:lineRule="auto"/>
        <w:rPr>
          <w:rFonts w:ascii="Arial" w:hAnsi="Arial" w:cs="Arial"/>
        </w:rPr>
      </w:pPr>
    </w:p>
    <w:p w:rsidR="00A869BB" w:rsidRDefault="007E4C6F" w:rsidP="007E4C6F">
      <w:pPr>
        <w:spacing w:after="220" w:line="240" w:lineRule="auto"/>
        <w:rPr>
          <w:rFonts w:ascii="Arial" w:hAnsi="Arial" w:cs="Arial"/>
        </w:rPr>
      </w:pPr>
      <w:r w:rsidRPr="007E4C6F">
        <w:rPr>
          <w:rFonts w:ascii="Arial" w:hAnsi="Arial" w:cs="Arial"/>
        </w:rPr>
        <w:t xml:space="preserve">The supply and consumption of energy accounted for </w:t>
      </w:r>
      <w:r w:rsidR="00CF78BD">
        <w:rPr>
          <w:rFonts w:ascii="Arial" w:hAnsi="Arial" w:cs="Arial"/>
        </w:rPr>
        <w:t>44%</w:t>
      </w:r>
      <w:r w:rsidRPr="007E4C6F">
        <w:rPr>
          <w:rFonts w:ascii="Arial" w:hAnsi="Arial" w:cs="Arial"/>
        </w:rPr>
        <w:t xml:space="preserve"> of New Zealand’s total greenhouse gas emissions in 20</w:t>
      </w:r>
      <w:r w:rsidR="00CF78BD">
        <w:rPr>
          <w:rFonts w:ascii="Arial" w:hAnsi="Arial" w:cs="Arial"/>
        </w:rPr>
        <w:t>11</w:t>
      </w:r>
      <w:r w:rsidRPr="007E4C6F">
        <w:rPr>
          <w:rFonts w:ascii="Arial" w:hAnsi="Arial" w:cs="Arial"/>
        </w:rPr>
        <w:t>.</w:t>
      </w:r>
      <w:r w:rsidR="00A869BB">
        <w:rPr>
          <w:rFonts w:ascii="Arial" w:hAnsi="Arial" w:cs="Arial"/>
        </w:rPr>
        <w:t xml:space="preserve"> Since 1990, the base year for Kyoto Protocol obligations, New Zealand’s energy sector emissions have increased in total by 31%.</w:t>
      </w:r>
      <w:r>
        <w:rPr>
          <w:rFonts w:ascii="Arial" w:hAnsi="Arial" w:cs="Arial"/>
        </w:rPr>
        <w:t xml:space="preserve"> </w:t>
      </w:r>
      <w:r w:rsidR="00EF380E">
        <w:rPr>
          <w:rFonts w:ascii="Arial" w:hAnsi="Arial" w:cs="Arial"/>
        </w:rPr>
        <w:t>In 2011, n</w:t>
      </w:r>
      <w:r w:rsidRPr="007E4C6F">
        <w:rPr>
          <w:rFonts w:ascii="Arial" w:hAnsi="Arial" w:cs="Arial"/>
        </w:rPr>
        <w:t xml:space="preserve">ational transport accounted for </w:t>
      </w:r>
      <w:r w:rsidR="00CF78BD">
        <w:rPr>
          <w:rFonts w:ascii="Arial" w:hAnsi="Arial" w:cs="Arial"/>
        </w:rPr>
        <w:t>45.7%</w:t>
      </w:r>
      <w:r w:rsidRPr="007E4C6F">
        <w:rPr>
          <w:rFonts w:ascii="Arial" w:hAnsi="Arial" w:cs="Arial"/>
        </w:rPr>
        <w:t xml:space="preserve"> of NZ’s energy-related greenhouse gas emissions</w:t>
      </w:r>
      <w:r w:rsidR="00A869BB">
        <w:rPr>
          <w:rFonts w:ascii="Arial" w:hAnsi="Arial" w:cs="Arial"/>
        </w:rPr>
        <w:t>, and r</w:t>
      </w:r>
      <w:r w:rsidR="00EF380E">
        <w:rPr>
          <w:rFonts w:ascii="Arial" w:hAnsi="Arial" w:cs="Arial"/>
        </w:rPr>
        <w:t>oad transport alone accounted for 41.0% of all energy sector emissions</w:t>
      </w:r>
      <w:r w:rsidR="00A869BB">
        <w:rPr>
          <w:rFonts w:ascii="Arial" w:hAnsi="Arial" w:cs="Arial"/>
        </w:rPr>
        <w:t>. Road transport emissions grew</w:t>
      </w:r>
      <w:r w:rsidR="00EF380E">
        <w:rPr>
          <w:rFonts w:ascii="Arial" w:hAnsi="Arial" w:cs="Arial"/>
        </w:rPr>
        <w:t xml:space="preserve"> by</w:t>
      </w:r>
      <w:r w:rsidR="00A869BB">
        <w:rPr>
          <w:rFonts w:ascii="Arial" w:hAnsi="Arial" w:cs="Arial"/>
        </w:rPr>
        <w:t xml:space="preserve"> over</w:t>
      </w:r>
      <w:r w:rsidR="00EF380E">
        <w:rPr>
          <w:rFonts w:ascii="Arial" w:hAnsi="Arial" w:cs="Arial"/>
        </w:rPr>
        <w:t xml:space="preserve"> 70% </w:t>
      </w:r>
      <w:r w:rsidR="00A869BB">
        <w:rPr>
          <w:rFonts w:ascii="Arial" w:hAnsi="Arial" w:cs="Arial"/>
        </w:rPr>
        <w:t>between</w:t>
      </w:r>
      <w:r w:rsidR="00EF380E">
        <w:rPr>
          <w:rFonts w:ascii="Arial" w:hAnsi="Arial" w:cs="Arial"/>
        </w:rPr>
        <w:t xml:space="preserve"> 1990</w:t>
      </w:r>
      <w:r w:rsidR="00A869BB">
        <w:rPr>
          <w:rFonts w:ascii="Arial" w:hAnsi="Arial" w:cs="Arial"/>
        </w:rPr>
        <w:t xml:space="preserve"> and 2011 </w:t>
      </w:r>
      <w:r w:rsidR="007850FD">
        <w:rPr>
          <w:rFonts w:ascii="Arial" w:hAnsi="Arial" w:cs="Arial"/>
        </w:rPr>
        <w:t>(MBIE, 2011), although it has tend</w:t>
      </w:r>
      <w:r w:rsidR="007B2C60">
        <w:rPr>
          <w:rFonts w:ascii="Arial" w:hAnsi="Arial" w:cs="Arial"/>
        </w:rPr>
        <w:t>ed to level out in recent years.</w:t>
      </w:r>
    </w:p>
    <w:p w:rsidR="007B2C60" w:rsidRDefault="007B2C60" w:rsidP="007E4C6F">
      <w:pPr>
        <w:spacing w:after="220" w:line="240" w:lineRule="auto"/>
        <w:rPr>
          <w:rFonts w:ascii="Arial" w:hAnsi="Arial" w:cs="Arial"/>
        </w:rPr>
      </w:pPr>
    </w:p>
    <w:p w:rsidR="006A2A54" w:rsidRDefault="006A2A54" w:rsidP="00AF2200">
      <w:pPr>
        <w:spacing w:after="220" w:line="240" w:lineRule="auto"/>
        <w:rPr>
          <w:rFonts w:ascii="Arial" w:hAnsi="Arial" w:cs="Arial"/>
        </w:rPr>
      </w:pPr>
      <w:r w:rsidRPr="006A2A54">
        <w:rPr>
          <w:rFonts w:ascii="Arial" w:hAnsi="Arial" w:cs="Arial"/>
        </w:rPr>
        <w:t>The evidence is now clear that mankind has initiated changes to the world’s climate whose consequences for future generations are potentially catastrophic. It is essential that all nations contribute towards reducing our greenhouse gas emissions</w:t>
      </w:r>
      <w:r w:rsidR="0092436C">
        <w:rPr>
          <w:rFonts w:ascii="Arial" w:hAnsi="Arial" w:cs="Arial"/>
        </w:rPr>
        <w:t xml:space="preserve"> to keep warming below the 2</w:t>
      </w:r>
      <w:r w:rsidR="0092436C" w:rsidRPr="0092436C">
        <w:rPr>
          <w:rFonts w:ascii="Arial" w:hAnsi="Arial" w:cs="Arial"/>
          <w:vertAlign w:val="superscript"/>
        </w:rPr>
        <w:t>o</w:t>
      </w:r>
      <w:r w:rsidR="0092436C">
        <w:rPr>
          <w:rFonts w:ascii="Arial" w:hAnsi="Arial" w:cs="Arial"/>
        </w:rPr>
        <w:t>C maximum identified by climate scientists.</w:t>
      </w:r>
      <w:r w:rsidRPr="006A2A54">
        <w:rPr>
          <w:rFonts w:ascii="Arial" w:hAnsi="Arial" w:cs="Arial"/>
        </w:rPr>
        <w:t xml:space="preserve"> To argue that New Zealand can make little difference as it only produces 0.2% of the world’s GHG emissions is little better than to argue that individually we have no responsibility to take action. </w:t>
      </w:r>
      <w:r w:rsidR="007E4C6F">
        <w:rPr>
          <w:rFonts w:ascii="Arial" w:hAnsi="Arial" w:cs="Arial"/>
        </w:rPr>
        <w:t xml:space="preserve"> </w:t>
      </w:r>
    </w:p>
    <w:p w:rsidR="00AF2200" w:rsidRDefault="00AF2200" w:rsidP="00AF2200">
      <w:pPr>
        <w:spacing w:after="220" w:line="240" w:lineRule="auto"/>
        <w:rPr>
          <w:rFonts w:ascii="Arial" w:hAnsi="Arial" w:cs="Arial"/>
        </w:rPr>
      </w:pPr>
    </w:p>
    <w:p w:rsidR="00AF2200" w:rsidRDefault="006A2A54" w:rsidP="00AF2200">
      <w:pPr>
        <w:spacing w:after="220" w:line="240" w:lineRule="auto"/>
        <w:rPr>
          <w:rFonts w:ascii="Arial" w:hAnsi="Arial" w:cs="Arial"/>
        </w:rPr>
      </w:pPr>
      <w:r w:rsidRPr="006A2A54">
        <w:rPr>
          <w:rFonts w:ascii="Arial" w:hAnsi="Arial" w:cs="Arial"/>
        </w:rPr>
        <w:t xml:space="preserve">Our isolated location in the South Pacific </w:t>
      </w:r>
      <w:r w:rsidR="004164C4">
        <w:rPr>
          <w:rFonts w:ascii="Arial" w:hAnsi="Arial" w:cs="Arial"/>
        </w:rPr>
        <w:t>may</w:t>
      </w:r>
      <w:r w:rsidRPr="006A2A54">
        <w:rPr>
          <w:rFonts w:ascii="Arial" w:hAnsi="Arial" w:cs="Arial"/>
        </w:rPr>
        <w:t xml:space="preserve"> reduce some of the</w:t>
      </w:r>
      <w:r w:rsidR="004164C4">
        <w:rPr>
          <w:rFonts w:ascii="Arial" w:hAnsi="Arial" w:cs="Arial"/>
        </w:rPr>
        <w:t xml:space="preserve"> more severe</w:t>
      </w:r>
      <w:r w:rsidRPr="006A2A54">
        <w:rPr>
          <w:rFonts w:ascii="Arial" w:hAnsi="Arial" w:cs="Arial"/>
        </w:rPr>
        <w:t xml:space="preserve"> impacts of climate change. We will, however, have to deal with the effects of sea level rise, increasing severe weather events resulting in increased flooding due to high rainfall intensities and storm surges, an increased frequency of droughts, and changing weather patterns. </w:t>
      </w:r>
    </w:p>
    <w:p w:rsidR="00D752AA" w:rsidRDefault="00D752AA" w:rsidP="00AF2200">
      <w:pPr>
        <w:spacing w:after="220" w:line="240" w:lineRule="auto"/>
        <w:rPr>
          <w:rFonts w:ascii="Arial" w:hAnsi="Arial" w:cs="Arial"/>
        </w:rPr>
      </w:pPr>
    </w:p>
    <w:p w:rsidR="00CF2574" w:rsidRDefault="00106514" w:rsidP="00AF2200">
      <w:pPr>
        <w:spacing w:after="220" w:line="240" w:lineRule="auto"/>
        <w:rPr>
          <w:rFonts w:ascii="Arial" w:hAnsi="Arial" w:cs="Arial"/>
        </w:rPr>
      </w:pPr>
      <w:r w:rsidRPr="00825868">
        <w:rPr>
          <w:rFonts w:ascii="Arial" w:hAnsi="Arial" w:cs="Arial"/>
        </w:rPr>
        <w:t>Most of the crude oil produced in New Zealand is exported</w:t>
      </w:r>
      <w:r w:rsidR="00D752AA">
        <w:rPr>
          <w:rFonts w:ascii="Arial" w:hAnsi="Arial" w:cs="Arial"/>
        </w:rPr>
        <w:t>. It</w:t>
      </w:r>
      <w:r w:rsidRPr="00825868">
        <w:rPr>
          <w:rFonts w:ascii="Arial" w:hAnsi="Arial" w:cs="Arial"/>
        </w:rPr>
        <w:t xml:space="preserve"> is mostly light, sweet crude</w:t>
      </w:r>
      <w:r w:rsidRPr="00106514">
        <w:rPr>
          <w:rFonts w:ascii="Arial" w:hAnsi="Arial" w:cs="Arial"/>
        </w:rPr>
        <w:t xml:space="preserve"> </w:t>
      </w:r>
      <w:r w:rsidRPr="00825868">
        <w:rPr>
          <w:rFonts w:ascii="Arial" w:hAnsi="Arial" w:cs="Arial"/>
        </w:rPr>
        <w:t xml:space="preserve">whereas </w:t>
      </w:r>
      <w:r>
        <w:rPr>
          <w:rFonts w:ascii="Arial" w:hAnsi="Arial" w:cs="Arial"/>
        </w:rPr>
        <w:t>New Zealand’s</w:t>
      </w:r>
      <w:r w:rsidRPr="00825868">
        <w:rPr>
          <w:rFonts w:ascii="Arial" w:hAnsi="Arial" w:cs="Arial"/>
        </w:rPr>
        <w:t xml:space="preserve"> Marsden Point oil refinery</w:t>
      </w:r>
      <w:r w:rsidR="008A0FEF">
        <w:rPr>
          <w:rFonts w:ascii="Arial" w:hAnsi="Arial" w:cs="Arial"/>
        </w:rPr>
        <w:t xml:space="preserve"> is designed to</w:t>
      </w:r>
      <w:r w:rsidRPr="00825868">
        <w:rPr>
          <w:rFonts w:ascii="Arial" w:hAnsi="Arial" w:cs="Arial"/>
        </w:rPr>
        <w:t xml:space="preserve"> process heavier, cheaper crude</w:t>
      </w:r>
      <w:r w:rsidR="00D752AA">
        <w:rPr>
          <w:rFonts w:ascii="Arial" w:hAnsi="Arial" w:cs="Arial"/>
        </w:rPr>
        <w:t>, just over half of which</w:t>
      </w:r>
      <w:r w:rsidR="00D752AA" w:rsidRPr="006A2A54">
        <w:rPr>
          <w:rFonts w:ascii="Arial" w:hAnsi="Arial" w:cs="Arial"/>
        </w:rPr>
        <w:t xml:space="preserve"> is sourced from the Middle East </w:t>
      </w:r>
      <w:r w:rsidR="00D752AA">
        <w:rPr>
          <w:rFonts w:ascii="Arial" w:hAnsi="Arial" w:cs="Arial"/>
        </w:rPr>
        <w:t>which is an increasingly politically volatile region. The</w:t>
      </w:r>
      <w:r w:rsidR="00306484">
        <w:rPr>
          <w:rFonts w:ascii="Arial" w:hAnsi="Arial" w:cs="Arial"/>
        </w:rPr>
        <w:t xml:space="preserve"> Marsden Point refine</w:t>
      </w:r>
      <w:r w:rsidR="00D752AA">
        <w:rPr>
          <w:rFonts w:ascii="Arial" w:hAnsi="Arial" w:cs="Arial"/>
        </w:rPr>
        <w:t>ry supplies</w:t>
      </w:r>
      <w:r w:rsidR="00306484">
        <w:rPr>
          <w:rFonts w:ascii="Arial" w:hAnsi="Arial" w:cs="Arial"/>
        </w:rPr>
        <w:t xml:space="preserve"> all of the country’s jet fuel, nearly 80% of diesel, around half of all petrol, between 75 and 85% of bitumen for </w:t>
      </w:r>
      <w:proofErr w:type="spellStart"/>
      <w:r w:rsidR="00306484">
        <w:rPr>
          <w:rFonts w:ascii="Arial" w:hAnsi="Arial" w:cs="Arial"/>
        </w:rPr>
        <w:t>roading</w:t>
      </w:r>
      <w:proofErr w:type="spellEnd"/>
      <w:r w:rsidR="00306484">
        <w:rPr>
          <w:rFonts w:ascii="Arial" w:hAnsi="Arial" w:cs="Arial"/>
        </w:rPr>
        <w:t xml:space="preserve"> and all fuel oil for ships</w:t>
      </w:r>
      <w:r w:rsidR="00CD5901">
        <w:rPr>
          <w:rFonts w:ascii="Arial" w:hAnsi="Arial" w:cs="Arial"/>
        </w:rPr>
        <w:t xml:space="preserve"> (Refining NZ website)</w:t>
      </w:r>
      <w:r w:rsidR="00306484">
        <w:rPr>
          <w:rFonts w:ascii="Arial" w:hAnsi="Arial" w:cs="Arial"/>
        </w:rPr>
        <w:t>.</w:t>
      </w:r>
      <w:r w:rsidR="006A2A54" w:rsidRPr="006A2A54">
        <w:rPr>
          <w:rFonts w:ascii="Arial" w:hAnsi="Arial" w:cs="Arial"/>
        </w:rPr>
        <w:t xml:space="preserve"> </w:t>
      </w:r>
      <w:r w:rsidRPr="00825868">
        <w:rPr>
          <w:rFonts w:ascii="Arial" w:hAnsi="Arial" w:cs="Arial"/>
        </w:rPr>
        <w:t xml:space="preserve">New Zealand’s domestic oil production is currently equivalent to just under one third of the total demand. As most of it is exported, it offsets a significant part of the cost of oil imports, but does little to reduce our crude oil or oil product import dependency.  </w:t>
      </w:r>
      <w:r w:rsidR="00AF2200">
        <w:rPr>
          <w:rFonts w:ascii="Arial" w:hAnsi="Arial" w:cs="Arial"/>
        </w:rPr>
        <w:t>A major and long lasting disruption to supplies would have a</w:t>
      </w:r>
      <w:r w:rsidR="006A2A54">
        <w:rPr>
          <w:rFonts w:ascii="Arial" w:hAnsi="Arial" w:cs="Arial"/>
        </w:rPr>
        <w:t xml:space="preserve"> </w:t>
      </w:r>
      <w:r w:rsidR="00AF2200">
        <w:rPr>
          <w:rFonts w:ascii="Arial" w:hAnsi="Arial" w:cs="Arial"/>
        </w:rPr>
        <w:t>severe effect on our economy.</w:t>
      </w:r>
      <w:r w:rsidR="004164C4">
        <w:rPr>
          <w:rFonts w:ascii="Arial" w:hAnsi="Arial" w:cs="Arial"/>
        </w:rPr>
        <w:t xml:space="preserve"> </w:t>
      </w:r>
      <w:r w:rsidR="009C3D56">
        <w:rPr>
          <w:rFonts w:ascii="Arial" w:hAnsi="Arial" w:cs="Arial"/>
        </w:rPr>
        <w:t>Our current response to these risks</w:t>
      </w:r>
      <w:r w:rsidR="00306484">
        <w:rPr>
          <w:rFonts w:ascii="Arial" w:hAnsi="Arial" w:cs="Arial"/>
        </w:rPr>
        <w:t xml:space="preserve"> is</w:t>
      </w:r>
      <w:r w:rsidR="009C3D56">
        <w:rPr>
          <w:rFonts w:ascii="Arial" w:hAnsi="Arial" w:cs="Arial"/>
        </w:rPr>
        <w:t xml:space="preserve"> to rely on our 90 day strategic reserve.</w:t>
      </w:r>
    </w:p>
    <w:p w:rsidR="00EF1E52" w:rsidRDefault="00EF1E52" w:rsidP="00AF2200">
      <w:pPr>
        <w:spacing w:after="220" w:line="240" w:lineRule="auto"/>
        <w:rPr>
          <w:rFonts w:ascii="Arial" w:hAnsi="Arial" w:cs="Arial"/>
        </w:rPr>
      </w:pPr>
    </w:p>
    <w:p w:rsidR="00EF1E52" w:rsidRDefault="00EF1E52" w:rsidP="00AF2200">
      <w:pPr>
        <w:spacing w:after="220" w:line="240" w:lineRule="auto"/>
        <w:rPr>
          <w:rFonts w:ascii="Arial" w:hAnsi="Arial" w:cs="Arial"/>
        </w:rPr>
      </w:pPr>
      <w:r>
        <w:rPr>
          <w:rFonts w:ascii="Arial" w:hAnsi="Arial" w:cs="Arial"/>
        </w:rPr>
        <w:t>This paper</w:t>
      </w:r>
      <w:r w:rsidR="004164C4">
        <w:rPr>
          <w:rFonts w:ascii="Arial" w:hAnsi="Arial" w:cs="Arial"/>
        </w:rPr>
        <w:t>, written from a transportation perspective,</w:t>
      </w:r>
      <w:r>
        <w:rPr>
          <w:rFonts w:ascii="Arial" w:hAnsi="Arial" w:cs="Arial"/>
        </w:rPr>
        <w:t xml:space="preserve"> discusses current New Zealand Government Policies in a climate change and energy security context</w:t>
      </w:r>
      <w:r w:rsidR="007E1746">
        <w:rPr>
          <w:rFonts w:ascii="Arial" w:hAnsi="Arial" w:cs="Arial"/>
        </w:rPr>
        <w:t xml:space="preserve"> and suggests some changes</w:t>
      </w:r>
      <w:r>
        <w:rPr>
          <w:rFonts w:ascii="Arial" w:hAnsi="Arial" w:cs="Arial"/>
        </w:rPr>
        <w:t xml:space="preserve">. It then identifies some actions that should be taken to mitigate </w:t>
      </w:r>
      <w:r w:rsidR="00C00AC7">
        <w:rPr>
          <w:rFonts w:ascii="Arial" w:hAnsi="Arial" w:cs="Arial"/>
        </w:rPr>
        <w:t>climat</w:t>
      </w:r>
      <w:r>
        <w:rPr>
          <w:rFonts w:ascii="Arial" w:hAnsi="Arial" w:cs="Arial"/>
        </w:rPr>
        <w:t>e</w:t>
      </w:r>
      <w:r w:rsidR="00C00AC7">
        <w:rPr>
          <w:rFonts w:ascii="Arial" w:hAnsi="Arial" w:cs="Arial"/>
        </w:rPr>
        <w:t xml:space="preserve"> change and its effects while improving energy security.</w:t>
      </w:r>
      <w:r>
        <w:rPr>
          <w:rFonts w:ascii="Arial" w:hAnsi="Arial" w:cs="Arial"/>
        </w:rPr>
        <w:t xml:space="preserve"> It starts with some current climate change facts</w:t>
      </w:r>
      <w:r w:rsidR="002E409B">
        <w:rPr>
          <w:rFonts w:ascii="Arial" w:hAnsi="Arial" w:cs="Arial"/>
        </w:rPr>
        <w:t>.</w:t>
      </w:r>
    </w:p>
    <w:p w:rsidR="00D752AA" w:rsidRDefault="00D752AA" w:rsidP="00AF2200">
      <w:pPr>
        <w:spacing w:after="220" w:line="240" w:lineRule="auto"/>
        <w:rPr>
          <w:rFonts w:ascii="Arial" w:hAnsi="Arial" w:cs="Arial"/>
        </w:rPr>
      </w:pPr>
    </w:p>
    <w:p w:rsidR="008C3F33" w:rsidRDefault="008C3F33" w:rsidP="00AF2200">
      <w:pPr>
        <w:spacing w:after="220" w:line="240" w:lineRule="auto"/>
        <w:rPr>
          <w:rFonts w:ascii="Arial" w:hAnsi="Arial" w:cs="Arial"/>
        </w:rPr>
      </w:pPr>
    </w:p>
    <w:p w:rsidR="008C3F33" w:rsidRDefault="008C3F33" w:rsidP="00AF2200">
      <w:pPr>
        <w:spacing w:after="220" w:line="240" w:lineRule="auto"/>
        <w:rPr>
          <w:rFonts w:ascii="Arial" w:hAnsi="Arial" w:cs="Arial"/>
        </w:rPr>
      </w:pPr>
    </w:p>
    <w:p w:rsidR="00AF2200" w:rsidRPr="00D67B61" w:rsidRDefault="00D67B61" w:rsidP="00AF2200">
      <w:pPr>
        <w:spacing w:after="220" w:line="240" w:lineRule="auto"/>
        <w:rPr>
          <w:rFonts w:ascii="Arial" w:hAnsi="Arial" w:cs="Arial"/>
          <w:b/>
          <w:caps/>
          <w:sz w:val="28"/>
          <w:szCs w:val="28"/>
        </w:rPr>
      </w:pPr>
      <w:r w:rsidRPr="00D67B61">
        <w:rPr>
          <w:rFonts w:ascii="Arial" w:hAnsi="Arial" w:cs="Arial"/>
          <w:b/>
          <w:caps/>
          <w:sz w:val="28"/>
          <w:szCs w:val="28"/>
        </w:rPr>
        <w:t>2.</w:t>
      </w:r>
      <w:r w:rsidRPr="00D67B61">
        <w:rPr>
          <w:rFonts w:ascii="Arial" w:hAnsi="Arial" w:cs="Arial"/>
          <w:b/>
          <w:caps/>
          <w:sz w:val="28"/>
          <w:szCs w:val="28"/>
        </w:rPr>
        <w:tab/>
      </w:r>
      <w:r w:rsidR="00AF2200" w:rsidRPr="00D67B61">
        <w:rPr>
          <w:rFonts w:ascii="Arial" w:hAnsi="Arial" w:cs="Arial"/>
          <w:b/>
          <w:caps/>
          <w:sz w:val="28"/>
          <w:szCs w:val="28"/>
        </w:rPr>
        <w:t>Some</w:t>
      </w:r>
      <w:r w:rsidR="00EF1E52" w:rsidRPr="00D67B61">
        <w:rPr>
          <w:rFonts w:ascii="Arial" w:hAnsi="Arial" w:cs="Arial"/>
          <w:b/>
          <w:caps/>
          <w:sz w:val="28"/>
          <w:szCs w:val="28"/>
        </w:rPr>
        <w:t xml:space="preserve"> Climate Change</w:t>
      </w:r>
      <w:r w:rsidR="00AF2200" w:rsidRPr="00D67B61">
        <w:rPr>
          <w:rFonts w:ascii="Arial" w:hAnsi="Arial" w:cs="Arial"/>
          <w:b/>
          <w:caps/>
          <w:sz w:val="28"/>
          <w:szCs w:val="28"/>
        </w:rPr>
        <w:t xml:space="preserve"> Facts</w:t>
      </w:r>
    </w:p>
    <w:p w:rsidR="00957BAE" w:rsidRDefault="00957BAE" w:rsidP="00EF1E52">
      <w:pPr>
        <w:pStyle w:val="ListParagraph"/>
        <w:numPr>
          <w:ilvl w:val="0"/>
          <w:numId w:val="12"/>
        </w:numPr>
        <w:spacing w:after="220" w:line="240" w:lineRule="auto"/>
        <w:ind w:left="714" w:hanging="357"/>
        <w:rPr>
          <w:rFonts w:ascii="Arial" w:hAnsi="Arial" w:cs="Arial"/>
        </w:rPr>
      </w:pPr>
      <w:r w:rsidRPr="00EF1E52">
        <w:rPr>
          <w:rFonts w:ascii="Arial" w:hAnsi="Arial" w:cs="Arial"/>
        </w:rPr>
        <w:t>According to the</w:t>
      </w:r>
      <w:r w:rsidR="00217CD4">
        <w:rPr>
          <w:rFonts w:ascii="Arial" w:hAnsi="Arial" w:cs="Arial"/>
        </w:rPr>
        <w:t xml:space="preserve"> United Nations</w:t>
      </w:r>
      <w:r w:rsidRPr="00EF1E52">
        <w:rPr>
          <w:rFonts w:ascii="Arial" w:hAnsi="Arial" w:cs="Arial"/>
        </w:rPr>
        <w:t xml:space="preserve"> Annual Emissions</w:t>
      </w:r>
      <w:r w:rsidR="009C776D">
        <w:rPr>
          <w:rFonts w:ascii="Arial" w:hAnsi="Arial" w:cs="Arial"/>
        </w:rPr>
        <w:t xml:space="preserve"> Gap</w:t>
      </w:r>
      <w:r w:rsidRPr="00EF1E52">
        <w:rPr>
          <w:rFonts w:ascii="Arial" w:hAnsi="Arial" w:cs="Arial"/>
        </w:rPr>
        <w:t xml:space="preserve"> Report</w:t>
      </w:r>
      <w:r w:rsidR="009C776D">
        <w:rPr>
          <w:rFonts w:ascii="Arial" w:hAnsi="Arial" w:cs="Arial"/>
        </w:rPr>
        <w:t xml:space="preserve"> (EGR, 2013)</w:t>
      </w:r>
      <w:r w:rsidRPr="00EF1E52">
        <w:rPr>
          <w:rFonts w:ascii="Arial" w:hAnsi="Arial" w:cs="Arial"/>
        </w:rPr>
        <w:t xml:space="preserve"> the world needs to reduce its total emissions to 44 </w:t>
      </w:r>
      <w:proofErr w:type="spellStart"/>
      <w:r w:rsidRPr="00EF1E52">
        <w:rPr>
          <w:rFonts w:ascii="Arial" w:hAnsi="Arial" w:cs="Arial"/>
        </w:rPr>
        <w:t>gigatonnes</w:t>
      </w:r>
      <w:proofErr w:type="spellEnd"/>
      <w:r w:rsidRPr="00EF1E52">
        <w:rPr>
          <w:rFonts w:ascii="Arial" w:hAnsi="Arial" w:cs="Arial"/>
        </w:rPr>
        <w:t xml:space="preserve"> CO</w:t>
      </w:r>
      <w:r w:rsidRPr="00EF1E52">
        <w:rPr>
          <w:rFonts w:ascii="Arial" w:hAnsi="Arial" w:cs="Arial"/>
          <w:vertAlign w:val="subscript"/>
        </w:rPr>
        <w:t>2</w:t>
      </w:r>
      <w:r w:rsidRPr="00EF1E52">
        <w:rPr>
          <w:rFonts w:ascii="Arial" w:hAnsi="Arial" w:cs="Arial"/>
        </w:rPr>
        <w:t xml:space="preserve"> equivalent by 2020 to keep below the 2</w:t>
      </w:r>
      <w:r w:rsidRPr="00EF1E52">
        <w:rPr>
          <w:rFonts w:ascii="Arial" w:hAnsi="Arial" w:cs="Arial"/>
          <w:vertAlign w:val="superscript"/>
        </w:rPr>
        <w:t>o</w:t>
      </w:r>
      <w:r w:rsidRPr="00EF1E52">
        <w:rPr>
          <w:rFonts w:ascii="Arial" w:hAnsi="Arial" w:cs="Arial"/>
        </w:rPr>
        <w:t xml:space="preserve">C warming target. It is currently 50 </w:t>
      </w:r>
      <w:proofErr w:type="spellStart"/>
      <w:r w:rsidRPr="00EF1E52">
        <w:rPr>
          <w:rFonts w:ascii="Arial" w:hAnsi="Arial" w:cs="Arial"/>
        </w:rPr>
        <w:t>gigatonnes</w:t>
      </w:r>
      <w:proofErr w:type="spellEnd"/>
      <w:r w:rsidRPr="00EF1E52">
        <w:rPr>
          <w:rFonts w:ascii="Arial" w:hAnsi="Arial" w:cs="Arial"/>
        </w:rPr>
        <w:t xml:space="preserve"> and could potentially increase to 52-56 </w:t>
      </w:r>
      <w:proofErr w:type="spellStart"/>
      <w:r w:rsidRPr="00EF1E52">
        <w:rPr>
          <w:rFonts w:ascii="Arial" w:hAnsi="Arial" w:cs="Arial"/>
        </w:rPr>
        <w:t>gigatonnes</w:t>
      </w:r>
      <w:proofErr w:type="spellEnd"/>
      <w:r w:rsidRPr="00EF1E52">
        <w:rPr>
          <w:rFonts w:ascii="Arial" w:hAnsi="Arial" w:cs="Arial"/>
        </w:rPr>
        <w:t xml:space="preserve"> by 2020 even when all pledges made by governments in 2010 are added together.</w:t>
      </w:r>
    </w:p>
    <w:p w:rsidR="00D752AA" w:rsidRDefault="00D752AA" w:rsidP="00D752AA">
      <w:pPr>
        <w:pStyle w:val="ListParagraph"/>
        <w:spacing w:after="220" w:line="240" w:lineRule="auto"/>
        <w:ind w:left="714"/>
        <w:rPr>
          <w:rFonts w:ascii="Arial" w:hAnsi="Arial" w:cs="Arial"/>
        </w:rPr>
      </w:pPr>
    </w:p>
    <w:p w:rsidR="00177520" w:rsidRDefault="00177520" w:rsidP="00EF1E52">
      <w:pPr>
        <w:pStyle w:val="ListParagraph"/>
        <w:numPr>
          <w:ilvl w:val="0"/>
          <w:numId w:val="12"/>
        </w:numPr>
        <w:spacing w:line="240" w:lineRule="auto"/>
        <w:ind w:left="714" w:hanging="357"/>
        <w:rPr>
          <w:rFonts w:ascii="Arial" w:hAnsi="Arial" w:cs="Arial"/>
        </w:rPr>
      </w:pPr>
      <w:r w:rsidRPr="00EF1E52">
        <w:rPr>
          <w:rFonts w:ascii="Arial" w:hAnsi="Arial" w:cs="Arial"/>
        </w:rPr>
        <w:t>The global level of CO</w:t>
      </w:r>
      <w:r w:rsidRPr="00EF1E52">
        <w:rPr>
          <w:rFonts w:ascii="Arial" w:hAnsi="Arial" w:cs="Arial"/>
          <w:vertAlign w:val="subscript"/>
        </w:rPr>
        <w:t>2</w:t>
      </w:r>
      <w:r w:rsidRPr="00EF1E52">
        <w:rPr>
          <w:rFonts w:ascii="Arial" w:hAnsi="Arial" w:cs="Arial"/>
        </w:rPr>
        <w:t xml:space="preserve"> reached a record of 393 </w:t>
      </w:r>
      <w:proofErr w:type="spellStart"/>
      <w:r w:rsidRPr="00EF1E52">
        <w:rPr>
          <w:rFonts w:ascii="Arial" w:hAnsi="Arial" w:cs="Arial"/>
        </w:rPr>
        <w:t>ppm</w:t>
      </w:r>
      <w:proofErr w:type="spellEnd"/>
      <w:r w:rsidRPr="00EF1E52">
        <w:rPr>
          <w:rFonts w:ascii="Arial" w:hAnsi="Arial" w:cs="Arial"/>
        </w:rPr>
        <w:t xml:space="preserve"> in 2012</w:t>
      </w:r>
      <w:r w:rsidR="009C776D">
        <w:rPr>
          <w:rFonts w:ascii="Arial" w:hAnsi="Arial" w:cs="Arial"/>
        </w:rPr>
        <w:t xml:space="preserve"> (WMO, 2013)</w:t>
      </w:r>
      <w:r w:rsidRPr="00EF1E52">
        <w:rPr>
          <w:rFonts w:ascii="Arial" w:hAnsi="Arial" w:cs="Arial"/>
        </w:rPr>
        <w:t>.</w:t>
      </w:r>
      <w:r w:rsidRPr="00177520">
        <w:t xml:space="preserve"> </w:t>
      </w:r>
      <w:r w:rsidRPr="00EF1E52">
        <w:rPr>
          <w:rFonts w:ascii="Arial" w:hAnsi="Arial" w:cs="Arial"/>
        </w:rPr>
        <w:t>The warming effect on our climate has increased by almost one third since 1990.</w:t>
      </w:r>
    </w:p>
    <w:p w:rsidR="00D752AA" w:rsidRPr="00D752AA" w:rsidRDefault="00D752AA" w:rsidP="00D752AA">
      <w:pPr>
        <w:pStyle w:val="ListParagraph"/>
        <w:rPr>
          <w:rFonts w:ascii="Arial" w:hAnsi="Arial" w:cs="Arial"/>
        </w:rPr>
      </w:pPr>
    </w:p>
    <w:p w:rsidR="0009630B" w:rsidRDefault="0070145A" w:rsidP="00EF1E52">
      <w:pPr>
        <w:pStyle w:val="ListParagraph"/>
        <w:numPr>
          <w:ilvl w:val="0"/>
          <w:numId w:val="12"/>
        </w:numPr>
        <w:spacing w:line="240" w:lineRule="auto"/>
        <w:ind w:left="714" w:hanging="357"/>
        <w:rPr>
          <w:rFonts w:ascii="Arial" w:hAnsi="Arial" w:cs="Arial"/>
        </w:rPr>
      </w:pPr>
      <w:r w:rsidRPr="00EF1E52">
        <w:rPr>
          <w:rFonts w:ascii="Arial" w:hAnsi="Arial" w:cs="Arial"/>
        </w:rPr>
        <w:t>The ocean has stored over 90% of the increase in energy in the climate system over recent decades, resulting in thermal expansion</w:t>
      </w:r>
      <w:r w:rsidR="001927D4">
        <w:rPr>
          <w:rStyle w:val="FootnoteReference"/>
          <w:rFonts w:ascii="Arial" w:hAnsi="Arial" w:cs="Arial"/>
        </w:rPr>
        <w:footnoteReference w:id="1"/>
      </w:r>
      <w:r w:rsidR="00DB1722">
        <w:rPr>
          <w:rFonts w:ascii="Arial" w:hAnsi="Arial" w:cs="Arial"/>
        </w:rPr>
        <w:t xml:space="preserve"> from the additional heat stored in the ocean</w:t>
      </w:r>
      <w:r w:rsidR="001927D4">
        <w:rPr>
          <w:rFonts w:ascii="Arial" w:hAnsi="Arial" w:cs="Arial"/>
        </w:rPr>
        <w:t>.</w:t>
      </w:r>
      <w:r w:rsidRPr="0070145A">
        <w:t xml:space="preserve"> </w:t>
      </w:r>
      <w:r w:rsidRPr="00EF1E52">
        <w:rPr>
          <w:rFonts w:ascii="Arial" w:hAnsi="Arial" w:cs="Arial"/>
        </w:rPr>
        <w:t>Ocean thermal expansion and glacier melting have been the dominant contributors to 20</w:t>
      </w:r>
      <w:r w:rsidRPr="00EF1E52">
        <w:rPr>
          <w:rFonts w:ascii="Arial" w:hAnsi="Arial" w:cs="Arial"/>
          <w:vertAlign w:val="superscript"/>
        </w:rPr>
        <w:t>th</w:t>
      </w:r>
      <w:r w:rsidRPr="00EF1E52">
        <w:rPr>
          <w:rFonts w:ascii="Arial" w:hAnsi="Arial" w:cs="Arial"/>
        </w:rPr>
        <w:t xml:space="preserve"> century global sea level rise.</w:t>
      </w:r>
      <w:r w:rsidR="0009630B" w:rsidRPr="0009630B">
        <w:t xml:space="preserve"> </w:t>
      </w:r>
      <w:r w:rsidR="0009630B" w:rsidRPr="00EF1E52">
        <w:rPr>
          <w:rFonts w:ascii="Arial" w:hAnsi="Arial" w:cs="Arial"/>
        </w:rPr>
        <w:t xml:space="preserve">The latest </w:t>
      </w:r>
      <w:r w:rsidR="009C776D">
        <w:rPr>
          <w:rFonts w:ascii="Arial" w:hAnsi="Arial" w:cs="Arial"/>
        </w:rPr>
        <w:t>scientific</w:t>
      </w:r>
      <w:r w:rsidR="0009630B" w:rsidRPr="00EF1E52">
        <w:rPr>
          <w:rFonts w:ascii="Arial" w:hAnsi="Arial" w:cs="Arial"/>
        </w:rPr>
        <w:t xml:space="preserve"> information</w:t>
      </w:r>
      <w:r w:rsidR="009C776D">
        <w:rPr>
          <w:rFonts w:ascii="Arial" w:hAnsi="Arial" w:cs="Arial"/>
        </w:rPr>
        <w:t xml:space="preserve"> (IPCC, 2013)</w:t>
      </w:r>
      <w:r w:rsidR="0009630B" w:rsidRPr="00EF1E52">
        <w:rPr>
          <w:rFonts w:ascii="Arial" w:hAnsi="Arial" w:cs="Arial"/>
        </w:rPr>
        <w:t xml:space="preserve"> indicates a range of seal level rise between mid-range points of 0.43m to 0.73m by 2100. Low-lying coastal regions in developing countries such as Bangladesh, Vietnam, India and China have especially large populations living in at-risk areas such as deltas, where rivers enter the ocean. </w:t>
      </w:r>
      <w:r w:rsidR="00D752AA">
        <w:rPr>
          <w:rFonts w:ascii="Arial" w:hAnsi="Arial" w:cs="Arial"/>
        </w:rPr>
        <w:t xml:space="preserve">Some </w:t>
      </w:r>
      <w:r w:rsidR="001927D4">
        <w:rPr>
          <w:rFonts w:ascii="Arial" w:hAnsi="Arial" w:cs="Arial"/>
        </w:rPr>
        <w:t>Pacific island nations are</w:t>
      </w:r>
      <w:r w:rsidR="0009630B" w:rsidRPr="00EF1E52">
        <w:rPr>
          <w:rFonts w:ascii="Arial" w:hAnsi="Arial" w:cs="Arial"/>
        </w:rPr>
        <w:t xml:space="preserve"> at risk because they do not have enough land at higher elevations to support displaced populations.</w:t>
      </w:r>
    </w:p>
    <w:p w:rsidR="00D752AA" w:rsidRPr="00D752AA" w:rsidRDefault="00D752AA" w:rsidP="00D752AA">
      <w:pPr>
        <w:pStyle w:val="ListParagraph"/>
        <w:rPr>
          <w:rFonts w:ascii="Arial" w:hAnsi="Arial" w:cs="Arial"/>
        </w:rPr>
      </w:pPr>
    </w:p>
    <w:p w:rsidR="00D12355" w:rsidRPr="00CE691A" w:rsidRDefault="00D12355" w:rsidP="00B855AE">
      <w:pPr>
        <w:spacing w:line="240" w:lineRule="auto"/>
        <w:rPr>
          <w:rFonts w:ascii="Arial" w:hAnsi="Arial" w:cs="Arial"/>
        </w:rPr>
      </w:pPr>
    </w:p>
    <w:p w:rsidR="00B855AE" w:rsidRPr="00D67B61" w:rsidRDefault="00D67B61" w:rsidP="00B855AE">
      <w:pPr>
        <w:spacing w:line="240" w:lineRule="auto"/>
        <w:rPr>
          <w:rFonts w:ascii="Arial" w:hAnsi="Arial" w:cs="Arial"/>
          <w:b/>
          <w:caps/>
          <w:sz w:val="28"/>
          <w:szCs w:val="28"/>
        </w:rPr>
      </w:pPr>
      <w:r w:rsidRPr="00D67B61">
        <w:rPr>
          <w:rFonts w:ascii="Arial" w:hAnsi="Arial" w:cs="Arial"/>
          <w:b/>
          <w:caps/>
          <w:sz w:val="28"/>
          <w:szCs w:val="28"/>
        </w:rPr>
        <w:t>3.</w:t>
      </w:r>
      <w:r w:rsidRPr="00D67B61">
        <w:rPr>
          <w:rFonts w:ascii="Arial" w:hAnsi="Arial" w:cs="Arial"/>
          <w:b/>
          <w:caps/>
          <w:sz w:val="28"/>
          <w:szCs w:val="28"/>
        </w:rPr>
        <w:tab/>
      </w:r>
      <w:r w:rsidR="00B855AE" w:rsidRPr="00D67B61">
        <w:rPr>
          <w:rFonts w:ascii="Arial" w:hAnsi="Arial" w:cs="Arial"/>
          <w:b/>
          <w:caps/>
          <w:sz w:val="28"/>
          <w:szCs w:val="28"/>
        </w:rPr>
        <w:t xml:space="preserve">New Zealand Government </w:t>
      </w:r>
      <w:r w:rsidR="00F232EB" w:rsidRPr="00D67B61">
        <w:rPr>
          <w:rFonts w:ascii="Arial" w:hAnsi="Arial" w:cs="Arial"/>
          <w:b/>
          <w:caps/>
          <w:sz w:val="28"/>
          <w:szCs w:val="28"/>
        </w:rPr>
        <w:t>Policies</w:t>
      </w:r>
    </w:p>
    <w:p w:rsidR="000253EB" w:rsidRDefault="00FD750D" w:rsidP="00B855AE">
      <w:pPr>
        <w:spacing w:line="240" w:lineRule="auto"/>
        <w:rPr>
          <w:rFonts w:ascii="Arial" w:hAnsi="Arial" w:cs="Arial"/>
        </w:rPr>
      </w:pPr>
      <w:r>
        <w:rPr>
          <w:rFonts w:ascii="Arial" w:hAnsi="Arial" w:cs="Arial"/>
        </w:rPr>
        <w:t>This section discusses national transport policies which have an important influence on New Zealand’s responses to energy security and climate change issues.</w:t>
      </w:r>
    </w:p>
    <w:p w:rsidR="00FD750D" w:rsidRDefault="00FD750D" w:rsidP="00B855AE">
      <w:pPr>
        <w:spacing w:line="240" w:lineRule="auto"/>
        <w:rPr>
          <w:rFonts w:ascii="Arial" w:hAnsi="Arial" w:cs="Arial"/>
        </w:rPr>
      </w:pPr>
    </w:p>
    <w:p w:rsidR="00845F79" w:rsidRPr="00D67B61" w:rsidRDefault="00D67B61" w:rsidP="00845F79">
      <w:pPr>
        <w:spacing w:line="240" w:lineRule="auto"/>
        <w:rPr>
          <w:rFonts w:ascii="Arial" w:hAnsi="Arial" w:cs="Arial"/>
          <w:b/>
          <w:sz w:val="24"/>
          <w:szCs w:val="24"/>
        </w:rPr>
      </w:pPr>
      <w:r w:rsidRPr="00D67B61">
        <w:rPr>
          <w:rFonts w:ascii="Arial" w:hAnsi="Arial" w:cs="Arial"/>
          <w:b/>
          <w:sz w:val="24"/>
          <w:szCs w:val="24"/>
        </w:rPr>
        <w:t>3.1</w:t>
      </w:r>
      <w:r w:rsidRPr="00D67B61">
        <w:rPr>
          <w:rFonts w:ascii="Arial" w:hAnsi="Arial" w:cs="Arial"/>
          <w:b/>
          <w:sz w:val="24"/>
          <w:szCs w:val="24"/>
        </w:rPr>
        <w:tab/>
      </w:r>
      <w:r w:rsidR="00845F79" w:rsidRPr="00D67B61">
        <w:rPr>
          <w:rFonts w:ascii="Arial" w:hAnsi="Arial" w:cs="Arial"/>
          <w:b/>
          <w:sz w:val="24"/>
          <w:szCs w:val="24"/>
        </w:rPr>
        <w:t>Land Transport Management Act (LTMA)</w:t>
      </w:r>
    </w:p>
    <w:p w:rsidR="00CF2574" w:rsidRDefault="00845F79" w:rsidP="00AF2200">
      <w:pPr>
        <w:spacing w:line="240" w:lineRule="auto"/>
        <w:rPr>
          <w:rFonts w:ascii="Arial" w:hAnsi="Arial" w:cs="Arial"/>
        </w:rPr>
      </w:pPr>
      <w:r>
        <w:rPr>
          <w:rFonts w:ascii="Arial" w:hAnsi="Arial" w:cs="Arial"/>
        </w:rPr>
        <w:t>The LTMA 2008 is the primary legislation affecting the transport sector in New Zealand. The 2013 amendment changed the purpose of the act to</w:t>
      </w:r>
      <w:r w:rsidR="00E82F11">
        <w:rPr>
          <w:rFonts w:ascii="Arial" w:hAnsi="Arial" w:cs="Arial"/>
        </w:rPr>
        <w:t xml:space="preserve"> read</w:t>
      </w:r>
      <w:r>
        <w:rPr>
          <w:rFonts w:ascii="Arial" w:hAnsi="Arial" w:cs="Arial"/>
        </w:rPr>
        <w:t xml:space="preserve"> “to contribute to an effective, efficient and safe land transport system in the public interest”</w:t>
      </w:r>
      <w:r w:rsidR="00C82011">
        <w:rPr>
          <w:rFonts w:ascii="Arial" w:hAnsi="Arial" w:cs="Arial"/>
        </w:rPr>
        <w:t xml:space="preserve">, replacing the words “integrated, affordable, safe, responsive and sustainable transport system”. </w:t>
      </w:r>
    </w:p>
    <w:p w:rsidR="00CF2574" w:rsidRDefault="00CF2574" w:rsidP="00AF2200">
      <w:pPr>
        <w:spacing w:line="240" w:lineRule="auto"/>
        <w:rPr>
          <w:rFonts w:ascii="Arial" w:hAnsi="Arial" w:cs="Arial"/>
        </w:rPr>
      </w:pPr>
    </w:p>
    <w:p w:rsidR="00BC72A0" w:rsidRDefault="00C82011" w:rsidP="00AF2200">
      <w:pPr>
        <w:spacing w:line="240" w:lineRule="auto"/>
        <w:rPr>
          <w:rFonts w:ascii="Arial" w:hAnsi="Arial" w:cs="Arial"/>
        </w:rPr>
      </w:pPr>
      <w:r>
        <w:rPr>
          <w:rFonts w:ascii="Arial" w:hAnsi="Arial" w:cs="Arial"/>
        </w:rPr>
        <w:t>The removal of</w:t>
      </w:r>
      <w:r w:rsidR="00E82F11">
        <w:rPr>
          <w:rFonts w:ascii="Arial" w:hAnsi="Arial" w:cs="Arial"/>
        </w:rPr>
        <w:t xml:space="preserve"> the word</w:t>
      </w:r>
      <w:r>
        <w:rPr>
          <w:rFonts w:ascii="Arial" w:hAnsi="Arial" w:cs="Arial"/>
        </w:rPr>
        <w:t xml:space="preserve"> “sustainable” </w:t>
      </w:r>
      <w:r w:rsidR="000F4D5A">
        <w:rPr>
          <w:rFonts w:ascii="Arial" w:hAnsi="Arial" w:cs="Arial"/>
        </w:rPr>
        <w:t>is one of the</w:t>
      </w:r>
      <w:r w:rsidR="00E82F11">
        <w:rPr>
          <w:rFonts w:ascii="Arial" w:hAnsi="Arial" w:cs="Arial"/>
        </w:rPr>
        <w:t xml:space="preserve"> most significant</w:t>
      </w:r>
      <w:r>
        <w:rPr>
          <w:rFonts w:ascii="Arial" w:hAnsi="Arial" w:cs="Arial"/>
        </w:rPr>
        <w:t xml:space="preserve"> change</w:t>
      </w:r>
      <w:r w:rsidR="000F4D5A">
        <w:rPr>
          <w:rFonts w:ascii="Arial" w:hAnsi="Arial" w:cs="Arial"/>
        </w:rPr>
        <w:t>s</w:t>
      </w:r>
      <w:r>
        <w:rPr>
          <w:rFonts w:ascii="Arial" w:hAnsi="Arial" w:cs="Arial"/>
        </w:rPr>
        <w:t xml:space="preserve"> to the purpose.</w:t>
      </w:r>
      <w:r w:rsidR="00CF2574">
        <w:rPr>
          <w:rFonts w:ascii="Arial" w:hAnsi="Arial" w:cs="Arial"/>
        </w:rPr>
        <w:t xml:space="preserve"> </w:t>
      </w:r>
      <w:r w:rsidR="00CF2574" w:rsidRPr="00CF2574">
        <w:rPr>
          <w:rFonts w:ascii="Arial" w:hAnsi="Arial" w:cs="Arial"/>
        </w:rPr>
        <w:t>New Zealand is a major food producer.</w:t>
      </w:r>
      <w:r w:rsidR="00CF2574">
        <w:t xml:space="preserve"> </w:t>
      </w:r>
      <w:r w:rsidR="00CF2574" w:rsidRPr="00CF2574">
        <w:rPr>
          <w:rFonts w:ascii="Arial" w:hAnsi="Arial" w:cs="Arial"/>
        </w:rPr>
        <w:t>Our primary sector exports now make up 70% of NZ’s exports</w:t>
      </w:r>
      <w:r w:rsidR="00CF2574">
        <w:t xml:space="preserve">. </w:t>
      </w:r>
      <w:r w:rsidR="00A3128B" w:rsidRPr="00A3128B">
        <w:rPr>
          <w:rFonts w:ascii="Arial" w:hAnsi="Arial" w:cs="Arial"/>
        </w:rPr>
        <w:t>As a trading nation with a high proportion of its income from exporting food products it is essential that New Zealand be seen to be environmentally responsible.</w:t>
      </w:r>
      <w:r w:rsidR="00A3128B">
        <w:rPr>
          <w:rFonts w:ascii="Arial" w:hAnsi="Arial" w:cs="Arial"/>
        </w:rPr>
        <w:t xml:space="preserve"> </w:t>
      </w:r>
      <w:r w:rsidR="00CF2574">
        <w:rPr>
          <w:rFonts w:ascii="Arial" w:hAnsi="Arial" w:cs="Arial"/>
        </w:rPr>
        <w:t xml:space="preserve">It surely follows that sustainability should be at the core of our national policies including our transport policies. </w:t>
      </w:r>
    </w:p>
    <w:p w:rsidR="00A3128B" w:rsidRDefault="00A3128B" w:rsidP="00B855AE">
      <w:pPr>
        <w:spacing w:line="240" w:lineRule="auto"/>
        <w:rPr>
          <w:rFonts w:ascii="Arial" w:hAnsi="Arial" w:cs="Arial"/>
        </w:rPr>
      </w:pPr>
    </w:p>
    <w:p w:rsidR="00845F79" w:rsidRPr="005E1D44" w:rsidRDefault="00BC72A0" w:rsidP="00B855AE">
      <w:pPr>
        <w:spacing w:line="240" w:lineRule="auto"/>
        <w:rPr>
          <w:rFonts w:ascii="Arial" w:hAnsi="Arial" w:cs="Arial"/>
        </w:rPr>
      </w:pPr>
      <w:r w:rsidRPr="00CA75F8">
        <w:rPr>
          <w:rFonts w:ascii="Arial" w:hAnsi="Arial" w:cs="Arial"/>
        </w:rPr>
        <w:t xml:space="preserve">In my view we should aim for an effective, efficient, safe and </w:t>
      </w:r>
      <w:r w:rsidRPr="00CA75F8">
        <w:rPr>
          <w:rFonts w:ascii="Arial" w:hAnsi="Arial" w:cs="Arial"/>
          <w:u w:val="single"/>
        </w:rPr>
        <w:t>sustainable</w:t>
      </w:r>
      <w:r w:rsidRPr="00CA75F8">
        <w:rPr>
          <w:rFonts w:ascii="Arial" w:hAnsi="Arial" w:cs="Arial"/>
        </w:rPr>
        <w:t xml:space="preserve"> transport system.</w:t>
      </w:r>
      <w:r w:rsidRPr="005E1D44">
        <w:rPr>
          <w:rFonts w:ascii="Arial" w:hAnsi="Arial" w:cs="Arial"/>
          <w:b/>
        </w:rPr>
        <w:t xml:space="preserve"> </w:t>
      </w:r>
      <w:r w:rsidRPr="005E1D44">
        <w:rPr>
          <w:rFonts w:ascii="Arial" w:hAnsi="Arial" w:cs="Arial"/>
        </w:rPr>
        <w:t>Among other things that would emphasise the importance of travel demand</w:t>
      </w:r>
      <w:r w:rsidR="00F1634D">
        <w:rPr>
          <w:rFonts w:ascii="Arial" w:hAnsi="Arial" w:cs="Arial"/>
        </w:rPr>
        <w:t xml:space="preserve"> management</w:t>
      </w:r>
      <w:r w:rsidRPr="005E1D44">
        <w:rPr>
          <w:rFonts w:ascii="Arial" w:hAnsi="Arial" w:cs="Arial"/>
        </w:rPr>
        <w:t xml:space="preserve"> measures, reducing reliance on fossil fuels, and reducing travel distances by single occupant cars.</w:t>
      </w:r>
    </w:p>
    <w:p w:rsidR="00845F79" w:rsidRDefault="00845F79" w:rsidP="00B855AE">
      <w:pPr>
        <w:spacing w:line="240" w:lineRule="auto"/>
        <w:rPr>
          <w:rFonts w:ascii="Arial" w:hAnsi="Arial" w:cs="Arial"/>
        </w:rPr>
      </w:pPr>
    </w:p>
    <w:p w:rsidR="00CC15A3" w:rsidRPr="00CF2574" w:rsidRDefault="00CC15A3" w:rsidP="00B855AE">
      <w:pPr>
        <w:spacing w:line="240" w:lineRule="auto"/>
        <w:rPr>
          <w:rFonts w:ascii="Arial" w:hAnsi="Arial" w:cs="Arial"/>
        </w:rPr>
      </w:pPr>
    </w:p>
    <w:p w:rsidR="000253EB" w:rsidRPr="00BE37D2" w:rsidRDefault="00D67B61" w:rsidP="00B855AE">
      <w:pPr>
        <w:spacing w:line="240" w:lineRule="auto"/>
        <w:rPr>
          <w:rFonts w:ascii="Arial" w:hAnsi="Arial" w:cs="Arial"/>
          <w:b/>
          <w:sz w:val="24"/>
          <w:szCs w:val="24"/>
        </w:rPr>
      </w:pPr>
      <w:r w:rsidRPr="00BE37D2">
        <w:rPr>
          <w:rFonts w:ascii="Arial" w:hAnsi="Arial" w:cs="Arial"/>
          <w:b/>
          <w:sz w:val="24"/>
          <w:szCs w:val="24"/>
        </w:rPr>
        <w:t>3.2</w:t>
      </w:r>
      <w:r w:rsidRPr="00BE37D2">
        <w:rPr>
          <w:rFonts w:ascii="Arial" w:hAnsi="Arial" w:cs="Arial"/>
          <w:b/>
          <w:sz w:val="24"/>
          <w:szCs w:val="24"/>
        </w:rPr>
        <w:tab/>
      </w:r>
      <w:r w:rsidR="000253EB" w:rsidRPr="00BE37D2">
        <w:rPr>
          <w:rFonts w:ascii="Arial" w:hAnsi="Arial" w:cs="Arial"/>
          <w:b/>
          <w:sz w:val="24"/>
          <w:szCs w:val="24"/>
        </w:rPr>
        <w:t>Greenhouse Gas Emissions</w:t>
      </w:r>
      <w:r w:rsidR="00A279B1" w:rsidRPr="00BE37D2">
        <w:rPr>
          <w:rFonts w:ascii="Arial" w:hAnsi="Arial" w:cs="Arial"/>
          <w:b/>
          <w:sz w:val="24"/>
          <w:szCs w:val="24"/>
        </w:rPr>
        <w:t xml:space="preserve"> Policy</w:t>
      </w:r>
    </w:p>
    <w:p w:rsidR="00B855AE" w:rsidRDefault="00CF04ED" w:rsidP="00B855AE">
      <w:pPr>
        <w:spacing w:line="240" w:lineRule="auto"/>
        <w:rPr>
          <w:rFonts w:ascii="Arial" w:hAnsi="Arial" w:cs="Arial"/>
        </w:rPr>
      </w:pPr>
      <w:r>
        <w:rPr>
          <w:rFonts w:ascii="Arial" w:hAnsi="Arial" w:cs="Arial"/>
        </w:rPr>
        <w:t>In August 2013, the New Zealand Government announced that it had scaled back its target</w:t>
      </w:r>
      <w:r w:rsidR="00D12355">
        <w:rPr>
          <w:rFonts w:ascii="Arial" w:hAnsi="Arial" w:cs="Arial"/>
        </w:rPr>
        <w:t xml:space="preserve"> (set in 2009)</w:t>
      </w:r>
      <w:r>
        <w:rPr>
          <w:rFonts w:ascii="Arial" w:hAnsi="Arial" w:cs="Arial"/>
        </w:rPr>
        <w:t xml:space="preserve"> for GHG emissions from 10-20% below 1990 levels to 5% below 1990 levels by 2020. This was stated as being an interim step ahead of a new United Nations pact which is to be agreed in 2015</w:t>
      </w:r>
      <w:r w:rsidR="00623274">
        <w:rPr>
          <w:rFonts w:ascii="Arial" w:hAnsi="Arial" w:cs="Arial"/>
        </w:rPr>
        <w:t>. It was initially intended that the 2015 pact would</w:t>
      </w:r>
      <w:r>
        <w:rPr>
          <w:rFonts w:ascii="Arial" w:hAnsi="Arial" w:cs="Arial"/>
        </w:rPr>
        <w:t xml:space="preserve"> impose binding emission cuts from 2020.</w:t>
      </w:r>
      <w:r w:rsidR="00A30E50" w:rsidRPr="00A30E50">
        <w:rPr>
          <w:rFonts w:ascii="Arial" w:hAnsi="Arial" w:cs="Arial"/>
          <w:color w:val="333333"/>
          <w:sz w:val="21"/>
          <w:szCs w:val="21"/>
          <w:shd w:val="clear" w:color="auto" w:fill="FFFFFF"/>
        </w:rPr>
        <w:t xml:space="preserve"> </w:t>
      </w:r>
      <w:r w:rsidR="00623274">
        <w:rPr>
          <w:rFonts w:ascii="Arial" w:hAnsi="Arial" w:cs="Arial"/>
          <w:color w:val="333333"/>
          <w:sz w:val="21"/>
          <w:szCs w:val="21"/>
          <w:shd w:val="clear" w:color="auto" w:fill="FFFFFF"/>
        </w:rPr>
        <w:t xml:space="preserve">However, </w:t>
      </w:r>
      <w:r w:rsidR="00A30E50">
        <w:rPr>
          <w:rFonts w:ascii="Arial" w:hAnsi="Arial" w:cs="Arial"/>
          <w:color w:val="333333"/>
          <w:sz w:val="21"/>
          <w:szCs w:val="21"/>
          <w:shd w:val="clear" w:color="auto" w:fill="FFFFFF"/>
        </w:rPr>
        <w:t>the 2015 pact may</w:t>
      </w:r>
      <w:r w:rsidR="00623274">
        <w:rPr>
          <w:rFonts w:ascii="Arial" w:hAnsi="Arial" w:cs="Arial"/>
          <w:color w:val="333333"/>
          <w:sz w:val="21"/>
          <w:szCs w:val="21"/>
          <w:shd w:val="clear" w:color="auto" w:fill="FFFFFF"/>
        </w:rPr>
        <w:t xml:space="preserve"> end up being</w:t>
      </w:r>
      <w:r w:rsidR="00A30E50">
        <w:rPr>
          <w:rFonts w:ascii="Arial" w:hAnsi="Arial" w:cs="Arial"/>
          <w:color w:val="333333"/>
          <w:sz w:val="21"/>
          <w:szCs w:val="21"/>
          <w:shd w:val="clear" w:color="auto" w:fill="FFFFFF"/>
        </w:rPr>
        <w:t xml:space="preserve"> a looser agreement whereby countries set their own targets, but are subject to some form of review by other nations.</w:t>
      </w:r>
    </w:p>
    <w:p w:rsidR="00CF04ED" w:rsidRPr="00225E72" w:rsidRDefault="00CF04ED" w:rsidP="00D752AA">
      <w:pPr>
        <w:pStyle w:val="NoSpacing"/>
      </w:pPr>
    </w:p>
    <w:tbl>
      <w:tblPr>
        <w:tblStyle w:val="TableGrid"/>
        <w:tblW w:w="0" w:type="auto"/>
        <w:tblLook w:val="04A0"/>
      </w:tblPr>
      <w:tblGrid>
        <w:gridCol w:w="2463"/>
        <w:gridCol w:w="2463"/>
        <w:gridCol w:w="2464"/>
        <w:gridCol w:w="2464"/>
      </w:tblGrid>
      <w:tr w:rsidR="0006441E" w:rsidTr="0006441E">
        <w:trPr>
          <w:trHeight w:val="397"/>
        </w:trPr>
        <w:tc>
          <w:tcPr>
            <w:tcW w:w="2463" w:type="dxa"/>
            <w:vAlign w:val="center"/>
          </w:tcPr>
          <w:p w:rsidR="0006441E" w:rsidRPr="0006441E" w:rsidRDefault="0006441E" w:rsidP="0006441E">
            <w:pPr>
              <w:rPr>
                <w:rFonts w:ascii="Arial" w:hAnsi="Arial" w:cs="Arial"/>
                <w:b/>
              </w:rPr>
            </w:pPr>
            <w:r w:rsidRPr="0006441E">
              <w:rPr>
                <w:rFonts w:ascii="Arial" w:hAnsi="Arial" w:cs="Arial"/>
                <w:b/>
              </w:rPr>
              <w:t>NZ GHG Emissions</w:t>
            </w:r>
          </w:p>
        </w:tc>
        <w:tc>
          <w:tcPr>
            <w:tcW w:w="2463" w:type="dxa"/>
            <w:vAlign w:val="center"/>
          </w:tcPr>
          <w:p w:rsidR="0006441E" w:rsidRPr="0006441E" w:rsidRDefault="0006441E" w:rsidP="0006441E">
            <w:pPr>
              <w:jc w:val="center"/>
              <w:rPr>
                <w:rFonts w:ascii="Arial" w:hAnsi="Arial" w:cs="Arial"/>
                <w:b/>
              </w:rPr>
            </w:pPr>
            <w:r w:rsidRPr="0006441E">
              <w:rPr>
                <w:rFonts w:ascii="Arial" w:hAnsi="Arial" w:cs="Arial"/>
                <w:b/>
              </w:rPr>
              <w:t>1990 (MtCO</w:t>
            </w:r>
            <w:r w:rsidRPr="0006441E">
              <w:rPr>
                <w:rFonts w:ascii="Arial" w:hAnsi="Arial" w:cs="Arial"/>
                <w:b/>
                <w:vertAlign w:val="subscript"/>
              </w:rPr>
              <w:t>2</w:t>
            </w:r>
            <w:r w:rsidRPr="0006441E">
              <w:rPr>
                <w:rFonts w:ascii="Arial" w:hAnsi="Arial" w:cs="Arial"/>
                <w:b/>
              </w:rPr>
              <w:t>e)</w:t>
            </w:r>
          </w:p>
        </w:tc>
        <w:tc>
          <w:tcPr>
            <w:tcW w:w="2464" w:type="dxa"/>
            <w:vAlign w:val="center"/>
          </w:tcPr>
          <w:p w:rsidR="0006441E" w:rsidRPr="0006441E" w:rsidRDefault="0006441E" w:rsidP="0006441E">
            <w:pPr>
              <w:jc w:val="center"/>
              <w:rPr>
                <w:rFonts w:ascii="Arial" w:hAnsi="Arial" w:cs="Arial"/>
                <w:b/>
              </w:rPr>
            </w:pPr>
            <w:r w:rsidRPr="0006441E">
              <w:rPr>
                <w:rFonts w:ascii="Arial" w:hAnsi="Arial" w:cs="Arial"/>
                <w:b/>
              </w:rPr>
              <w:t>2012 (MtCO</w:t>
            </w:r>
            <w:r w:rsidRPr="0006441E">
              <w:rPr>
                <w:rFonts w:ascii="Arial" w:hAnsi="Arial" w:cs="Arial"/>
                <w:b/>
                <w:vertAlign w:val="subscript"/>
              </w:rPr>
              <w:t>2</w:t>
            </w:r>
            <w:r w:rsidRPr="0006441E">
              <w:rPr>
                <w:rFonts w:ascii="Arial" w:hAnsi="Arial" w:cs="Arial"/>
                <w:b/>
              </w:rPr>
              <w:t>e)</w:t>
            </w:r>
          </w:p>
        </w:tc>
        <w:tc>
          <w:tcPr>
            <w:tcW w:w="2464" w:type="dxa"/>
            <w:vAlign w:val="center"/>
          </w:tcPr>
          <w:p w:rsidR="0006441E" w:rsidRPr="0006441E" w:rsidRDefault="009B26FB" w:rsidP="0006441E">
            <w:pPr>
              <w:jc w:val="center"/>
              <w:rPr>
                <w:rFonts w:ascii="Arial" w:hAnsi="Arial" w:cs="Arial"/>
                <w:b/>
              </w:rPr>
            </w:pPr>
            <w:r>
              <w:rPr>
                <w:rFonts w:ascii="Arial" w:hAnsi="Arial" w:cs="Arial"/>
                <w:b/>
              </w:rPr>
              <w:t xml:space="preserve">1990-2012 </w:t>
            </w:r>
            <w:r w:rsidR="0006441E" w:rsidRPr="0006441E">
              <w:rPr>
                <w:rFonts w:ascii="Arial" w:hAnsi="Arial" w:cs="Arial"/>
                <w:b/>
              </w:rPr>
              <w:t>Increase</w:t>
            </w:r>
          </w:p>
        </w:tc>
      </w:tr>
      <w:tr w:rsidR="0006441E" w:rsidTr="0006441E">
        <w:trPr>
          <w:trHeight w:val="397"/>
        </w:trPr>
        <w:tc>
          <w:tcPr>
            <w:tcW w:w="2463" w:type="dxa"/>
            <w:vAlign w:val="center"/>
          </w:tcPr>
          <w:p w:rsidR="0006441E" w:rsidRDefault="0006441E" w:rsidP="0006441E">
            <w:pPr>
              <w:rPr>
                <w:rFonts w:ascii="Arial" w:hAnsi="Arial" w:cs="Arial"/>
              </w:rPr>
            </w:pPr>
            <w:r>
              <w:rPr>
                <w:rFonts w:ascii="Arial" w:hAnsi="Arial" w:cs="Arial"/>
              </w:rPr>
              <w:t>Gross Emissions</w:t>
            </w:r>
          </w:p>
        </w:tc>
        <w:tc>
          <w:tcPr>
            <w:tcW w:w="2463" w:type="dxa"/>
            <w:vAlign w:val="center"/>
          </w:tcPr>
          <w:p w:rsidR="0006441E" w:rsidRDefault="0006441E" w:rsidP="0006441E">
            <w:pPr>
              <w:jc w:val="center"/>
              <w:rPr>
                <w:rFonts w:ascii="Arial" w:hAnsi="Arial" w:cs="Arial"/>
              </w:rPr>
            </w:pPr>
            <w:r>
              <w:rPr>
                <w:rFonts w:ascii="Arial" w:hAnsi="Arial" w:cs="Arial"/>
              </w:rPr>
              <w:t>59.6</w:t>
            </w:r>
          </w:p>
        </w:tc>
        <w:tc>
          <w:tcPr>
            <w:tcW w:w="2464" w:type="dxa"/>
            <w:vAlign w:val="center"/>
          </w:tcPr>
          <w:p w:rsidR="0006441E" w:rsidRDefault="0006441E" w:rsidP="0006441E">
            <w:pPr>
              <w:jc w:val="center"/>
              <w:rPr>
                <w:rFonts w:ascii="Arial" w:hAnsi="Arial" w:cs="Arial"/>
              </w:rPr>
            </w:pPr>
            <w:r>
              <w:rPr>
                <w:rFonts w:ascii="Arial" w:hAnsi="Arial" w:cs="Arial"/>
              </w:rPr>
              <w:t>73.3</w:t>
            </w:r>
          </w:p>
        </w:tc>
        <w:tc>
          <w:tcPr>
            <w:tcW w:w="2464" w:type="dxa"/>
            <w:vAlign w:val="center"/>
          </w:tcPr>
          <w:p w:rsidR="0006441E" w:rsidRDefault="0006441E" w:rsidP="0006441E">
            <w:pPr>
              <w:jc w:val="center"/>
              <w:rPr>
                <w:rFonts w:ascii="Arial" w:hAnsi="Arial" w:cs="Arial"/>
              </w:rPr>
            </w:pPr>
            <w:r>
              <w:rPr>
                <w:rFonts w:ascii="Arial" w:hAnsi="Arial" w:cs="Arial"/>
              </w:rPr>
              <w:t>23%</w:t>
            </w:r>
          </w:p>
        </w:tc>
      </w:tr>
      <w:tr w:rsidR="0006441E" w:rsidTr="0006441E">
        <w:trPr>
          <w:trHeight w:val="397"/>
        </w:trPr>
        <w:tc>
          <w:tcPr>
            <w:tcW w:w="2463" w:type="dxa"/>
            <w:vAlign w:val="center"/>
          </w:tcPr>
          <w:p w:rsidR="0006441E" w:rsidRDefault="0006441E" w:rsidP="0006441E">
            <w:pPr>
              <w:rPr>
                <w:rFonts w:ascii="Arial" w:hAnsi="Arial" w:cs="Arial"/>
              </w:rPr>
            </w:pPr>
            <w:r>
              <w:rPr>
                <w:rFonts w:ascii="Arial" w:hAnsi="Arial" w:cs="Arial"/>
              </w:rPr>
              <w:t>Net Emissions</w:t>
            </w:r>
          </w:p>
        </w:tc>
        <w:tc>
          <w:tcPr>
            <w:tcW w:w="2463" w:type="dxa"/>
            <w:vAlign w:val="center"/>
          </w:tcPr>
          <w:p w:rsidR="0006441E" w:rsidRDefault="0006441E" w:rsidP="0006441E">
            <w:pPr>
              <w:jc w:val="center"/>
              <w:rPr>
                <w:rFonts w:ascii="Arial" w:hAnsi="Arial" w:cs="Arial"/>
              </w:rPr>
            </w:pPr>
            <w:r>
              <w:rPr>
                <w:rFonts w:ascii="Arial" w:hAnsi="Arial" w:cs="Arial"/>
              </w:rPr>
              <w:t>31.5</w:t>
            </w:r>
          </w:p>
        </w:tc>
        <w:tc>
          <w:tcPr>
            <w:tcW w:w="2464" w:type="dxa"/>
            <w:vAlign w:val="center"/>
          </w:tcPr>
          <w:p w:rsidR="0006441E" w:rsidRDefault="0006441E" w:rsidP="0006441E">
            <w:pPr>
              <w:jc w:val="center"/>
              <w:rPr>
                <w:rFonts w:ascii="Arial" w:hAnsi="Arial" w:cs="Arial"/>
              </w:rPr>
            </w:pPr>
            <w:r>
              <w:rPr>
                <w:rFonts w:ascii="Arial" w:hAnsi="Arial" w:cs="Arial"/>
              </w:rPr>
              <w:t>58.4</w:t>
            </w:r>
            <w:r w:rsidR="00EA5431">
              <w:rPr>
                <w:rStyle w:val="FootnoteReference"/>
                <w:rFonts w:ascii="Arial" w:hAnsi="Arial" w:cs="Arial"/>
              </w:rPr>
              <w:footnoteReference w:id="2"/>
            </w:r>
          </w:p>
        </w:tc>
        <w:tc>
          <w:tcPr>
            <w:tcW w:w="2464" w:type="dxa"/>
            <w:vAlign w:val="center"/>
          </w:tcPr>
          <w:p w:rsidR="0006441E" w:rsidRDefault="0006441E" w:rsidP="0006441E">
            <w:pPr>
              <w:jc w:val="center"/>
              <w:rPr>
                <w:rFonts w:ascii="Arial" w:hAnsi="Arial" w:cs="Arial"/>
              </w:rPr>
            </w:pPr>
            <w:r>
              <w:rPr>
                <w:rFonts w:ascii="Arial" w:hAnsi="Arial" w:cs="Arial"/>
              </w:rPr>
              <w:t>85%</w:t>
            </w:r>
          </w:p>
        </w:tc>
      </w:tr>
    </w:tbl>
    <w:p w:rsidR="0006441E" w:rsidRDefault="0006441E" w:rsidP="0006441E">
      <w:pPr>
        <w:pStyle w:val="NoSpacing"/>
      </w:pPr>
    </w:p>
    <w:p w:rsidR="0006441E" w:rsidRPr="00D752AA" w:rsidRDefault="0006441E" w:rsidP="00800E5F">
      <w:pPr>
        <w:spacing w:after="220" w:line="240" w:lineRule="auto"/>
        <w:rPr>
          <w:rFonts w:ascii="Arial" w:hAnsi="Arial" w:cs="Arial"/>
          <w:b/>
        </w:rPr>
      </w:pPr>
      <w:r w:rsidRPr="00D752AA">
        <w:rPr>
          <w:rFonts w:ascii="Arial" w:hAnsi="Arial" w:cs="Arial"/>
          <w:b/>
        </w:rPr>
        <w:t>T</w:t>
      </w:r>
      <w:r w:rsidR="00EA5431" w:rsidRPr="00D752AA">
        <w:rPr>
          <w:rFonts w:ascii="Arial" w:hAnsi="Arial" w:cs="Arial"/>
          <w:b/>
        </w:rPr>
        <w:t>able</w:t>
      </w:r>
      <w:r w:rsidRPr="00D752AA">
        <w:rPr>
          <w:rFonts w:ascii="Arial" w:hAnsi="Arial" w:cs="Arial"/>
          <w:b/>
        </w:rPr>
        <w:t xml:space="preserve"> 1: New Zealand Total Greenhouse Gas Emissions</w:t>
      </w:r>
      <w:r w:rsidR="0021047C" w:rsidRPr="00D752AA">
        <w:rPr>
          <w:rFonts w:ascii="Arial" w:hAnsi="Arial" w:cs="Arial"/>
          <w:b/>
        </w:rPr>
        <w:t>, 1990 and 2012</w:t>
      </w:r>
      <w:r w:rsidRPr="00D752AA">
        <w:rPr>
          <w:rFonts w:ascii="Arial" w:hAnsi="Arial" w:cs="Arial"/>
          <w:b/>
        </w:rPr>
        <w:t xml:space="preserve"> </w:t>
      </w:r>
    </w:p>
    <w:p w:rsidR="00225E72" w:rsidRDefault="00CF04ED" w:rsidP="00800E5F">
      <w:pPr>
        <w:spacing w:after="220" w:line="240" w:lineRule="auto"/>
        <w:rPr>
          <w:rFonts w:ascii="Arial" w:hAnsi="Arial" w:cs="Arial"/>
        </w:rPr>
      </w:pPr>
      <w:r>
        <w:rPr>
          <w:rFonts w:ascii="Arial" w:hAnsi="Arial" w:cs="Arial"/>
        </w:rPr>
        <w:t>In 1990, New Zealand’s gross GHG emissions were 59.6 Mt CO</w:t>
      </w:r>
      <w:r w:rsidRPr="00CF04ED">
        <w:rPr>
          <w:rFonts w:ascii="Arial" w:hAnsi="Arial" w:cs="Arial"/>
          <w:vertAlign w:val="subscript"/>
        </w:rPr>
        <w:t>2</w:t>
      </w:r>
      <w:r>
        <w:rPr>
          <w:rFonts w:ascii="Arial" w:hAnsi="Arial" w:cs="Arial"/>
        </w:rPr>
        <w:t>e (million tonnes of carbon dioxide equivalent), and the net emissions</w:t>
      </w:r>
      <w:r w:rsidR="00F1634D">
        <w:rPr>
          <w:rFonts w:ascii="Arial" w:hAnsi="Arial" w:cs="Arial"/>
        </w:rPr>
        <w:t xml:space="preserve"> </w:t>
      </w:r>
      <w:r>
        <w:rPr>
          <w:rFonts w:ascii="Arial" w:hAnsi="Arial" w:cs="Arial"/>
        </w:rPr>
        <w:t>were 31.5 Mt CO</w:t>
      </w:r>
      <w:r w:rsidRPr="00CF04ED">
        <w:rPr>
          <w:rFonts w:ascii="Arial" w:hAnsi="Arial" w:cs="Arial"/>
          <w:vertAlign w:val="subscript"/>
        </w:rPr>
        <w:t>2</w:t>
      </w:r>
      <w:r>
        <w:rPr>
          <w:rFonts w:ascii="Arial" w:hAnsi="Arial" w:cs="Arial"/>
        </w:rPr>
        <w:t>e</w:t>
      </w:r>
      <w:r w:rsidR="009C776D">
        <w:rPr>
          <w:rFonts w:ascii="Arial" w:hAnsi="Arial" w:cs="Arial"/>
        </w:rPr>
        <w:t xml:space="preserve"> (</w:t>
      </w:r>
      <w:proofErr w:type="spellStart"/>
      <w:r w:rsidR="009C776D">
        <w:rPr>
          <w:rFonts w:ascii="Arial" w:hAnsi="Arial" w:cs="Arial"/>
        </w:rPr>
        <w:t>MfE</w:t>
      </w:r>
      <w:proofErr w:type="spellEnd"/>
      <w:r w:rsidR="009C776D">
        <w:rPr>
          <w:rFonts w:ascii="Arial" w:hAnsi="Arial" w:cs="Arial"/>
        </w:rPr>
        <w:t>, 2009).</w:t>
      </w:r>
      <w:r w:rsidR="00225E72">
        <w:rPr>
          <w:rFonts w:ascii="Arial" w:hAnsi="Arial" w:cs="Arial"/>
        </w:rPr>
        <w:t xml:space="preserve"> </w:t>
      </w:r>
      <w:r w:rsidR="007A7DF3">
        <w:rPr>
          <w:rFonts w:ascii="Arial" w:hAnsi="Arial" w:cs="Arial"/>
        </w:rPr>
        <w:t>The difference between gross and net emissions is largely due to the effect of forestry planting and harvesting cycles. It is also influenced by international units surrendered under the NZ Emissions Trading Scheme</w:t>
      </w:r>
      <w:r w:rsidR="00EA5431">
        <w:rPr>
          <w:rFonts w:ascii="Arial" w:hAnsi="Arial" w:cs="Arial"/>
        </w:rPr>
        <w:t>.</w:t>
      </w:r>
      <w:r w:rsidR="00CD6ECB" w:rsidRPr="00CD6ECB">
        <w:rPr>
          <w:rFonts w:ascii="Arial" w:hAnsi="Arial" w:cs="Arial"/>
        </w:rPr>
        <w:t xml:space="preserve"> </w:t>
      </w:r>
      <w:r w:rsidR="00CD6ECB">
        <w:rPr>
          <w:rFonts w:ascii="Arial" w:hAnsi="Arial" w:cs="Arial"/>
        </w:rPr>
        <w:t>In 2012, gross GHG emissions were 73.3 Mt CO</w:t>
      </w:r>
      <w:r w:rsidR="00CD6ECB" w:rsidRPr="00CF04ED">
        <w:rPr>
          <w:rFonts w:ascii="Arial" w:hAnsi="Arial" w:cs="Arial"/>
          <w:vertAlign w:val="subscript"/>
        </w:rPr>
        <w:t>2</w:t>
      </w:r>
      <w:r w:rsidR="00CD6ECB">
        <w:rPr>
          <w:rFonts w:ascii="Arial" w:hAnsi="Arial" w:cs="Arial"/>
        </w:rPr>
        <w:t>e</w:t>
      </w:r>
      <w:r w:rsidR="00EA5431">
        <w:rPr>
          <w:rFonts w:ascii="Arial" w:hAnsi="Arial" w:cs="Arial"/>
        </w:rPr>
        <w:t>, and</w:t>
      </w:r>
      <w:r w:rsidR="00CD6ECB">
        <w:rPr>
          <w:rFonts w:ascii="Arial" w:hAnsi="Arial" w:cs="Arial"/>
        </w:rPr>
        <w:t xml:space="preserve"> net emissions were 58.4 Mt CO</w:t>
      </w:r>
      <w:r w:rsidR="00CD6ECB" w:rsidRPr="00CF04ED">
        <w:rPr>
          <w:rFonts w:ascii="Arial" w:hAnsi="Arial" w:cs="Arial"/>
          <w:vertAlign w:val="subscript"/>
        </w:rPr>
        <w:t>2</w:t>
      </w:r>
      <w:r w:rsidR="00CD6ECB">
        <w:rPr>
          <w:rFonts w:ascii="Arial" w:hAnsi="Arial" w:cs="Arial"/>
        </w:rPr>
        <w:t>e</w:t>
      </w:r>
      <w:r w:rsidR="009C776D">
        <w:rPr>
          <w:rFonts w:ascii="Arial" w:hAnsi="Arial" w:cs="Arial"/>
        </w:rPr>
        <w:t xml:space="preserve"> (</w:t>
      </w:r>
      <w:proofErr w:type="spellStart"/>
      <w:r w:rsidR="009C776D">
        <w:rPr>
          <w:rFonts w:ascii="Arial" w:hAnsi="Arial" w:cs="Arial"/>
        </w:rPr>
        <w:t>MfE</w:t>
      </w:r>
      <w:proofErr w:type="spellEnd"/>
      <w:r w:rsidR="009C776D">
        <w:rPr>
          <w:rFonts w:ascii="Arial" w:hAnsi="Arial" w:cs="Arial"/>
        </w:rPr>
        <w:t>, 2013)</w:t>
      </w:r>
      <w:r w:rsidR="00CD6ECB">
        <w:rPr>
          <w:rFonts w:ascii="Arial" w:hAnsi="Arial" w:cs="Arial"/>
        </w:rPr>
        <w:t>.</w:t>
      </w:r>
      <w:r w:rsidR="00EA5431">
        <w:rPr>
          <w:rFonts w:ascii="Arial" w:hAnsi="Arial" w:cs="Arial"/>
        </w:rPr>
        <w:t xml:space="preserve"> As can be seen from Table 1, NZ’s gross GHG emissions are currently 23% above the 1990 level.</w:t>
      </w:r>
    </w:p>
    <w:p w:rsidR="00225E72" w:rsidRDefault="00225E72" w:rsidP="00225E72">
      <w:pPr>
        <w:spacing w:after="220" w:line="240" w:lineRule="auto"/>
        <w:rPr>
          <w:rFonts w:ascii="Arial" w:hAnsi="Arial" w:cs="Arial"/>
        </w:rPr>
      </w:pPr>
    </w:p>
    <w:p w:rsidR="0028559D" w:rsidRPr="00F06587" w:rsidRDefault="0028559D" w:rsidP="00225E72">
      <w:pPr>
        <w:spacing w:after="220" w:line="240" w:lineRule="auto"/>
        <w:rPr>
          <w:rFonts w:ascii="Arial" w:hAnsi="Arial" w:cs="Arial"/>
        </w:rPr>
      </w:pPr>
      <w:r>
        <w:rPr>
          <w:rFonts w:ascii="Arial" w:hAnsi="Arial" w:cs="Arial"/>
        </w:rPr>
        <w:t xml:space="preserve">If you take the 1990 </w:t>
      </w:r>
      <w:r w:rsidRPr="00A832E5">
        <w:rPr>
          <w:rFonts w:ascii="Arial" w:hAnsi="Arial" w:cs="Arial"/>
        </w:rPr>
        <w:t>gross</w:t>
      </w:r>
      <w:r>
        <w:rPr>
          <w:rFonts w:ascii="Arial" w:hAnsi="Arial" w:cs="Arial"/>
        </w:rPr>
        <w:t xml:space="preserve"> total</w:t>
      </w:r>
      <w:r w:rsidR="00F06587">
        <w:rPr>
          <w:rFonts w:ascii="Arial" w:hAnsi="Arial" w:cs="Arial"/>
        </w:rPr>
        <w:t xml:space="preserve"> of 59.6 MtCO</w:t>
      </w:r>
      <w:r w:rsidR="00F06587" w:rsidRPr="00F06587">
        <w:rPr>
          <w:rFonts w:ascii="Arial" w:hAnsi="Arial" w:cs="Arial"/>
          <w:vertAlign w:val="subscript"/>
        </w:rPr>
        <w:t>2</w:t>
      </w:r>
      <w:r w:rsidR="00F06587">
        <w:rPr>
          <w:rFonts w:ascii="Arial" w:hAnsi="Arial" w:cs="Arial"/>
        </w:rPr>
        <w:t>e</w:t>
      </w:r>
      <w:r>
        <w:rPr>
          <w:rFonts w:ascii="Arial" w:hAnsi="Arial" w:cs="Arial"/>
        </w:rPr>
        <w:t xml:space="preserve"> and reduce it by 5%, you have a</w:t>
      </w:r>
      <w:r w:rsidR="00F06587">
        <w:rPr>
          <w:rFonts w:ascii="Arial" w:hAnsi="Arial" w:cs="Arial"/>
        </w:rPr>
        <w:t xml:space="preserve"> 2020 target</w:t>
      </w:r>
      <w:r>
        <w:rPr>
          <w:rFonts w:ascii="Arial" w:hAnsi="Arial" w:cs="Arial"/>
        </w:rPr>
        <w:t xml:space="preserve"> of 56.6 Mt CO</w:t>
      </w:r>
      <w:r w:rsidRPr="00CF04ED">
        <w:rPr>
          <w:rFonts w:ascii="Arial" w:hAnsi="Arial" w:cs="Arial"/>
          <w:vertAlign w:val="subscript"/>
        </w:rPr>
        <w:t>2</w:t>
      </w:r>
      <w:r>
        <w:rPr>
          <w:rFonts w:ascii="Arial" w:hAnsi="Arial" w:cs="Arial"/>
        </w:rPr>
        <w:t>e</w:t>
      </w:r>
      <w:r w:rsidR="00F06587">
        <w:rPr>
          <w:rFonts w:ascii="Arial" w:hAnsi="Arial" w:cs="Arial"/>
        </w:rPr>
        <w:t xml:space="preserve">, which is not far below the current (2012) </w:t>
      </w:r>
      <w:r w:rsidR="00F06587" w:rsidRPr="00F06587">
        <w:rPr>
          <w:rFonts w:ascii="Arial" w:hAnsi="Arial" w:cs="Arial"/>
          <w:u w:val="single"/>
        </w:rPr>
        <w:t>net</w:t>
      </w:r>
      <w:r w:rsidR="00F06587">
        <w:rPr>
          <w:rFonts w:ascii="Arial" w:hAnsi="Arial" w:cs="Arial"/>
        </w:rPr>
        <w:t xml:space="preserve"> emissions</w:t>
      </w:r>
      <w:r w:rsidR="006105C3">
        <w:rPr>
          <w:rFonts w:ascii="Arial" w:hAnsi="Arial" w:cs="Arial"/>
        </w:rPr>
        <w:t>. This suggests that a 5% reduction target measured in this way may not be very</w:t>
      </w:r>
      <w:r w:rsidR="00F06587">
        <w:rPr>
          <w:rFonts w:ascii="Arial" w:hAnsi="Arial" w:cs="Arial"/>
        </w:rPr>
        <w:t xml:space="preserve"> difficult to achieve</w:t>
      </w:r>
      <w:r w:rsidR="006105C3">
        <w:rPr>
          <w:rFonts w:ascii="Arial" w:hAnsi="Arial" w:cs="Arial"/>
        </w:rPr>
        <w:t>.</w:t>
      </w:r>
      <w:r w:rsidR="00F06587">
        <w:rPr>
          <w:rFonts w:ascii="Arial" w:hAnsi="Arial" w:cs="Arial"/>
        </w:rPr>
        <w:t xml:space="preserve"> However, achieving </w:t>
      </w:r>
      <w:r w:rsidR="00A279B1" w:rsidRPr="00F06587">
        <w:rPr>
          <w:rFonts w:ascii="Arial" w:hAnsi="Arial" w:cs="Arial"/>
        </w:rPr>
        <w:t xml:space="preserve">a </w:t>
      </w:r>
      <w:r w:rsidR="00A279B1" w:rsidRPr="00F06587">
        <w:rPr>
          <w:rFonts w:ascii="Arial" w:hAnsi="Arial" w:cs="Arial"/>
          <w:u w:val="single"/>
        </w:rPr>
        <w:t>gross</w:t>
      </w:r>
      <w:r w:rsidR="00A279B1" w:rsidRPr="00F06587">
        <w:rPr>
          <w:rFonts w:ascii="Arial" w:hAnsi="Arial" w:cs="Arial"/>
        </w:rPr>
        <w:t xml:space="preserve"> emissions target of 56.6 MtCO</w:t>
      </w:r>
      <w:r w:rsidR="00A279B1" w:rsidRPr="00F06587">
        <w:rPr>
          <w:rFonts w:ascii="Arial" w:hAnsi="Arial" w:cs="Arial"/>
          <w:vertAlign w:val="subscript"/>
        </w:rPr>
        <w:t>2</w:t>
      </w:r>
      <w:r w:rsidR="00A279B1" w:rsidRPr="00F06587">
        <w:rPr>
          <w:rFonts w:ascii="Arial" w:hAnsi="Arial" w:cs="Arial"/>
        </w:rPr>
        <w:t>e would</w:t>
      </w:r>
      <w:r w:rsidR="00F06587">
        <w:rPr>
          <w:rFonts w:ascii="Arial" w:hAnsi="Arial" w:cs="Arial"/>
        </w:rPr>
        <w:t xml:space="preserve"> </w:t>
      </w:r>
      <w:r w:rsidR="00A279B1" w:rsidRPr="00F06587">
        <w:rPr>
          <w:rFonts w:ascii="Arial" w:hAnsi="Arial" w:cs="Arial"/>
        </w:rPr>
        <w:t>require a</w:t>
      </w:r>
      <w:r w:rsidR="00A832E5">
        <w:rPr>
          <w:rFonts w:ascii="Arial" w:hAnsi="Arial" w:cs="Arial"/>
        </w:rPr>
        <w:t xml:space="preserve"> </w:t>
      </w:r>
      <w:r w:rsidR="00A832E5" w:rsidRPr="00A832E5">
        <w:rPr>
          <w:rFonts w:ascii="Arial" w:hAnsi="Arial" w:cs="Arial"/>
          <w:u w:val="single"/>
        </w:rPr>
        <w:t>22.8%</w:t>
      </w:r>
      <w:r w:rsidR="00A279B1" w:rsidRPr="00F06587">
        <w:rPr>
          <w:rFonts w:ascii="Arial" w:hAnsi="Arial" w:cs="Arial"/>
        </w:rPr>
        <w:t xml:space="preserve"> reduction from</w:t>
      </w:r>
      <w:r w:rsidR="00392FD6" w:rsidRPr="00F06587">
        <w:rPr>
          <w:rFonts w:ascii="Arial" w:hAnsi="Arial" w:cs="Arial"/>
        </w:rPr>
        <w:t xml:space="preserve"> the current</w:t>
      </w:r>
      <w:r w:rsidR="000253EB" w:rsidRPr="00F06587">
        <w:rPr>
          <w:rFonts w:ascii="Arial" w:hAnsi="Arial" w:cs="Arial"/>
        </w:rPr>
        <w:t xml:space="preserve"> </w:t>
      </w:r>
      <w:r w:rsidR="00A279B1" w:rsidRPr="00F06587">
        <w:rPr>
          <w:rFonts w:ascii="Arial" w:hAnsi="Arial" w:cs="Arial"/>
        </w:rPr>
        <w:t>73.3 Mt CO</w:t>
      </w:r>
      <w:r w:rsidR="00A279B1" w:rsidRPr="00F06587">
        <w:rPr>
          <w:rFonts w:ascii="Arial" w:hAnsi="Arial" w:cs="Arial"/>
          <w:vertAlign w:val="subscript"/>
        </w:rPr>
        <w:t>2</w:t>
      </w:r>
      <w:r w:rsidR="00A279B1" w:rsidRPr="00F06587">
        <w:rPr>
          <w:rFonts w:ascii="Arial" w:hAnsi="Arial" w:cs="Arial"/>
        </w:rPr>
        <w:t>e by 2020</w:t>
      </w:r>
      <w:r w:rsidR="00A832E5">
        <w:rPr>
          <w:rFonts w:ascii="Arial" w:hAnsi="Arial" w:cs="Arial"/>
        </w:rPr>
        <w:t xml:space="preserve"> – a far more challenging and, I suggest, a far more </w:t>
      </w:r>
      <w:r w:rsidR="00BA6C9D">
        <w:rPr>
          <w:rFonts w:ascii="Arial" w:hAnsi="Arial" w:cs="Arial"/>
        </w:rPr>
        <w:t>genuine</w:t>
      </w:r>
      <w:r w:rsidR="00A832E5">
        <w:rPr>
          <w:rFonts w:ascii="Arial" w:hAnsi="Arial" w:cs="Arial"/>
        </w:rPr>
        <w:t xml:space="preserve"> target</w:t>
      </w:r>
      <w:r w:rsidR="00A279B1" w:rsidRPr="00F06587">
        <w:rPr>
          <w:rFonts w:ascii="Arial" w:hAnsi="Arial" w:cs="Arial"/>
        </w:rPr>
        <w:t>.</w:t>
      </w:r>
    </w:p>
    <w:p w:rsidR="000253EB" w:rsidRDefault="000253EB" w:rsidP="00225E72">
      <w:pPr>
        <w:spacing w:after="220" w:line="240" w:lineRule="auto"/>
        <w:rPr>
          <w:rFonts w:ascii="Arial" w:hAnsi="Arial" w:cs="Arial"/>
        </w:rPr>
      </w:pPr>
    </w:p>
    <w:p w:rsidR="0028559D" w:rsidRPr="00CA75F8" w:rsidRDefault="00CD6ECB" w:rsidP="00225E72">
      <w:pPr>
        <w:spacing w:after="220" w:line="240" w:lineRule="auto"/>
        <w:rPr>
          <w:rFonts w:ascii="Arial" w:hAnsi="Arial" w:cs="Arial"/>
        </w:rPr>
      </w:pPr>
      <w:r>
        <w:rPr>
          <w:rFonts w:ascii="Arial" w:hAnsi="Arial" w:cs="Arial"/>
        </w:rPr>
        <w:t>T</w:t>
      </w:r>
      <w:r w:rsidR="00311123">
        <w:rPr>
          <w:rFonts w:ascii="Arial" w:hAnsi="Arial" w:cs="Arial"/>
        </w:rPr>
        <w:t xml:space="preserve">he forests planted in the 1990s are due for harvest in the 2020s. </w:t>
      </w:r>
      <w:r>
        <w:rPr>
          <w:rFonts w:ascii="Arial" w:hAnsi="Arial" w:cs="Arial"/>
        </w:rPr>
        <w:t xml:space="preserve">On being harvested, trees switch from being a carbon sink to a carbon source (under the Kyoto Protocol it is assumed that all the carbon stored in wood is emitted at the time of harvest). It follows that New Zealand is likely to face a sharp increase in net GHG emissions </w:t>
      </w:r>
      <w:r w:rsidR="000253EB">
        <w:rPr>
          <w:rFonts w:ascii="Arial" w:hAnsi="Arial" w:cs="Arial"/>
        </w:rPr>
        <w:t>in the 2020s</w:t>
      </w:r>
      <w:r>
        <w:rPr>
          <w:rFonts w:ascii="Arial" w:hAnsi="Arial" w:cs="Arial"/>
        </w:rPr>
        <w:t>, just at a time when inte</w:t>
      </w:r>
      <w:r w:rsidR="000253EB">
        <w:rPr>
          <w:rFonts w:ascii="Arial" w:hAnsi="Arial" w:cs="Arial"/>
        </w:rPr>
        <w:t>r</w:t>
      </w:r>
      <w:r>
        <w:rPr>
          <w:rFonts w:ascii="Arial" w:hAnsi="Arial" w:cs="Arial"/>
        </w:rPr>
        <w:t xml:space="preserve">national pressure </w:t>
      </w:r>
      <w:r w:rsidR="000253EB">
        <w:rPr>
          <w:rFonts w:ascii="Arial" w:hAnsi="Arial" w:cs="Arial"/>
        </w:rPr>
        <w:t>appears</w:t>
      </w:r>
      <w:r>
        <w:rPr>
          <w:rFonts w:ascii="Arial" w:hAnsi="Arial" w:cs="Arial"/>
        </w:rPr>
        <w:t xml:space="preserve"> likely to </w:t>
      </w:r>
      <w:r w:rsidR="000253EB">
        <w:rPr>
          <w:rFonts w:ascii="Arial" w:hAnsi="Arial" w:cs="Arial"/>
        </w:rPr>
        <w:t xml:space="preserve">increase sharply. </w:t>
      </w:r>
      <w:r w:rsidR="00392FD6">
        <w:rPr>
          <w:rFonts w:ascii="Arial" w:hAnsi="Arial" w:cs="Arial"/>
        </w:rPr>
        <w:t>For this reason alone, w</w:t>
      </w:r>
      <w:r w:rsidR="000253EB">
        <w:rPr>
          <w:rFonts w:ascii="Arial" w:hAnsi="Arial" w:cs="Arial"/>
        </w:rPr>
        <w:t xml:space="preserve">e should be anticipating this by adopting a far more aggressive 2020 GHG reductions target </w:t>
      </w:r>
      <w:r w:rsidR="000253EB" w:rsidRPr="000253EB">
        <w:rPr>
          <w:rFonts w:ascii="Arial" w:hAnsi="Arial" w:cs="Arial"/>
          <w:u w:val="single"/>
        </w:rPr>
        <w:t>now</w:t>
      </w:r>
      <w:r w:rsidR="000253EB">
        <w:rPr>
          <w:rFonts w:ascii="Arial" w:hAnsi="Arial" w:cs="Arial"/>
        </w:rPr>
        <w:t xml:space="preserve">. </w:t>
      </w:r>
      <w:r w:rsidR="00925337" w:rsidRPr="00CA75F8">
        <w:rPr>
          <w:rFonts w:ascii="Arial" w:hAnsi="Arial" w:cs="Arial"/>
        </w:rPr>
        <w:t>The current</w:t>
      </w:r>
      <w:r w:rsidR="00A074D9" w:rsidRPr="00CA75F8">
        <w:rPr>
          <w:rFonts w:ascii="Arial" w:hAnsi="Arial" w:cs="Arial"/>
        </w:rPr>
        <w:t xml:space="preserve"> apparent</w:t>
      </w:r>
      <w:r w:rsidR="00925337" w:rsidRPr="00CA75F8">
        <w:rPr>
          <w:rFonts w:ascii="Arial" w:hAnsi="Arial" w:cs="Arial"/>
        </w:rPr>
        <w:t xml:space="preserve"> complacency is inappropriate and short sighted.</w:t>
      </w:r>
      <w:r w:rsidR="00A074D9" w:rsidRPr="00CA75F8">
        <w:rPr>
          <w:rFonts w:ascii="Arial" w:hAnsi="Arial" w:cs="Arial"/>
        </w:rPr>
        <w:t xml:space="preserve">  </w:t>
      </w:r>
    </w:p>
    <w:p w:rsidR="00225E72" w:rsidRDefault="00225E72" w:rsidP="00225E72">
      <w:pPr>
        <w:spacing w:after="220" w:line="240" w:lineRule="auto"/>
        <w:rPr>
          <w:rFonts w:ascii="Arial" w:hAnsi="Arial" w:cs="Arial"/>
        </w:rPr>
      </w:pPr>
    </w:p>
    <w:p w:rsidR="00CE691A" w:rsidRPr="00BE37D2" w:rsidRDefault="00BE37D2" w:rsidP="00225E72">
      <w:pPr>
        <w:spacing w:after="220" w:line="240" w:lineRule="auto"/>
        <w:rPr>
          <w:rFonts w:ascii="Arial" w:hAnsi="Arial" w:cs="Arial"/>
          <w:b/>
          <w:sz w:val="24"/>
          <w:szCs w:val="24"/>
        </w:rPr>
      </w:pPr>
      <w:r w:rsidRPr="00BE37D2">
        <w:rPr>
          <w:rFonts w:ascii="Arial" w:hAnsi="Arial" w:cs="Arial"/>
          <w:b/>
          <w:sz w:val="24"/>
          <w:szCs w:val="24"/>
        </w:rPr>
        <w:t>3.3</w:t>
      </w:r>
      <w:r w:rsidRPr="00BE37D2">
        <w:rPr>
          <w:rFonts w:ascii="Arial" w:hAnsi="Arial" w:cs="Arial"/>
          <w:b/>
          <w:sz w:val="24"/>
          <w:szCs w:val="24"/>
        </w:rPr>
        <w:tab/>
      </w:r>
      <w:r w:rsidR="00E064BF" w:rsidRPr="00BE37D2">
        <w:rPr>
          <w:rFonts w:ascii="Arial" w:hAnsi="Arial" w:cs="Arial"/>
          <w:b/>
          <w:sz w:val="24"/>
          <w:szCs w:val="24"/>
        </w:rPr>
        <w:t>NZ Energy Strategy</w:t>
      </w:r>
      <w:r w:rsidR="00E82F11" w:rsidRPr="00BE37D2">
        <w:rPr>
          <w:rFonts w:ascii="Arial" w:hAnsi="Arial" w:cs="Arial"/>
          <w:b/>
          <w:sz w:val="24"/>
          <w:szCs w:val="24"/>
        </w:rPr>
        <w:t xml:space="preserve"> </w:t>
      </w:r>
      <w:r w:rsidR="0084484E" w:rsidRPr="00BE37D2">
        <w:rPr>
          <w:rFonts w:ascii="Arial" w:hAnsi="Arial" w:cs="Arial"/>
          <w:b/>
          <w:sz w:val="24"/>
          <w:szCs w:val="24"/>
        </w:rPr>
        <w:t>and Energy Efficiency &amp; Conservation Strategy</w:t>
      </w:r>
      <w:r w:rsidR="00E82F11" w:rsidRPr="00BE37D2">
        <w:rPr>
          <w:rFonts w:ascii="Arial" w:hAnsi="Arial" w:cs="Arial"/>
          <w:b/>
          <w:sz w:val="24"/>
          <w:szCs w:val="24"/>
        </w:rPr>
        <w:t xml:space="preserve"> </w:t>
      </w:r>
    </w:p>
    <w:p w:rsidR="00557754" w:rsidRDefault="00557754" w:rsidP="00557754">
      <w:pPr>
        <w:spacing w:after="220" w:line="240" w:lineRule="auto"/>
        <w:rPr>
          <w:rFonts w:ascii="Arial" w:hAnsi="Arial" w:cs="Arial"/>
        </w:rPr>
      </w:pPr>
      <w:r>
        <w:rPr>
          <w:rFonts w:ascii="Arial" w:hAnsi="Arial" w:cs="Arial"/>
        </w:rPr>
        <w:t xml:space="preserve">The </w:t>
      </w:r>
      <w:r w:rsidR="00D12355">
        <w:rPr>
          <w:rFonts w:ascii="Arial" w:hAnsi="Arial" w:cs="Arial"/>
        </w:rPr>
        <w:t>NZ Energy Strategy 2011-2021</w:t>
      </w:r>
      <w:r w:rsidR="00FC34D8">
        <w:rPr>
          <w:rFonts w:ascii="Arial" w:hAnsi="Arial" w:cs="Arial"/>
        </w:rPr>
        <w:t xml:space="preserve"> (NZES, 2011)</w:t>
      </w:r>
      <w:r w:rsidR="002329AD">
        <w:rPr>
          <w:rFonts w:ascii="Arial" w:hAnsi="Arial" w:cs="Arial"/>
        </w:rPr>
        <w:t xml:space="preserve"> </w:t>
      </w:r>
      <w:r w:rsidR="00223C3A">
        <w:rPr>
          <w:rFonts w:ascii="Arial" w:hAnsi="Arial" w:cs="Arial"/>
        </w:rPr>
        <w:t>includes the following</w:t>
      </w:r>
      <w:r w:rsidR="00086D8E">
        <w:rPr>
          <w:rFonts w:ascii="Arial" w:hAnsi="Arial" w:cs="Arial"/>
        </w:rPr>
        <w:t xml:space="preserve"> t</w:t>
      </w:r>
      <w:r w:rsidR="0055084D">
        <w:rPr>
          <w:rFonts w:ascii="Arial" w:hAnsi="Arial" w:cs="Arial"/>
        </w:rPr>
        <w:t>ransport actions</w:t>
      </w:r>
      <w:r w:rsidR="00086D8E">
        <w:rPr>
          <w:rFonts w:ascii="Arial" w:hAnsi="Arial" w:cs="Arial"/>
        </w:rPr>
        <w:t xml:space="preserve"> which “</w:t>
      </w:r>
      <w:r w:rsidR="0055084D">
        <w:rPr>
          <w:rFonts w:ascii="Arial" w:hAnsi="Arial" w:cs="Arial"/>
        </w:rPr>
        <w:t xml:space="preserve">are </w:t>
      </w:r>
      <w:r w:rsidR="00623274">
        <w:rPr>
          <w:rFonts w:ascii="Arial" w:hAnsi="Arial" w:cs="Arial"/>
        </w:rPr>
        <w:t xml:space="preserve">intended to </w:t>
      </w:r>
      <w:r w:rsidR="0055084D">
        <w:rPr>
          <w:rFonts w:ascii="Arial" w:hAnsi="Arial" w:cs="Arial"/>
        </w:rPr>
        <w:t>create the most efficient mix of integrated modes and travel options by continuing to invest in</w:t>
      </w:r>
      <w:r w:rsidR="00086D8E">
        <w:rPr>
          <w:rFonts w:ascii="Arial" w:hAnsi="Arial" w:cs="Arial"/>
        </w:rPr>
        <w:t>”</w:t>
      </w:r>
      <w:r w:rsidR="0055084D">
        <w:rPr>
          <w:rFonts w:ascii="Arial" w:hAnsi="Arial" w:cs="Arial"/>
        </w:rPr>
        <w:t>:</w:t>
      </w:r>
    </w:p>
    <w:p w:rsidR="0055084D" w:rsidRPr="0055084D" w:rsidRDefault="0055084D" w:rsidP="0055084D">
      <w:pPr>
        <w:pStyle w:val="ListParagraph"/>
        <w:numPr>
          <w:ilvl w:val="0"/>
          <w:numId w:val="5"/>
        </w:numPr>
        <w:spacing w:after="220" w:line="240" w:lineRule="auto"/>
        <w:rPr>
          <w:rFonts w:ascii="Arial" w:hAnsi="Arial" w:cs="Arial"/>
        </w:rPr>
      </w:pPr>
      <w:r w:rsidRPr="0055084D">
        <w:rPr>
          <w:rFonts w:ascii="Arial" w:hAnsi="Arial" w:cs="Arial"/>
        </w:rPr>
        <w:t>Roads of national significance (i.e. selected state highways)</w:t>
      </w:r>
    </w:p>
    <w:p w:rsidR="0055084D" w:rsidRPr="0055084D" w:rsidRDefault="0055084D" w:rsidP="0055084D">
      <w:pPr>
        <w:pStyle w:val="ListParagraph"/>
        <w:numPr>
          <w:ilvl w:val="0"/>
          <w:numId w:val="5"/>
        </w:numPr>
        <w:spacing w:after="220" w:line="240" w:lineRule="auto"/>
        <w:rPr>
          <w:rFonts w:ascii="Arial" w:hAnsi="Arial" w:cs="Arial"/>
        </w:rPr>
      </w:pPr>
      <w:r w:rsidRPr="0055084D">
        <w:rPr>
          <w:rFonts w:ascii="Arial" w:hAnsi="Arial" w:cs="Arial"/>
        </w:rPr>
        <w:t>A rail system that enables efficient movement of freight</w:t>
      </w:r>
    </w:p>
    <w:p w:rsidR="0055084D" w:rsidRPr="0055084D" w:rsidRDefault="0055084D" w:rsidP="0055084D">
      <w:pPr>
        <w:pStyle w:val="ListParagraph"/>
        <w:numPr>
          <w:ilvl w:val="0"/>
          <w:numId w:val="5"/>
        </w:numPr>
        <w:spacing w:after="220" w:line="240" w:lineRule="auto"/>
        <w:rPr>
          <w:rFonts w:ascii="Arial" w:hAnsi="Arial" w:cs="Arial"/>
        </w:rPr>
      </w:pPr>
      <w:r w:rsidRPr="0055084D">
        <w:rPr>
          <w:rFonts w:ascii="Arial" w:hAnsi="Arial" w:cs="Arial"/>
        </w:rPr>
        <w:t>Reliable and more cost effective public transport systems that offer benefits to attract a greater percentage of long-term users</w:t>
      </w:r>
    </w:p>
    <w:p w:rsidR="0055084D" w:rsidRPr="0055084D" w:rsidRDefault="0055084D" w:rsidP="0055084D">
      <w:pPr>
        <w:pStyle w:val="ListParagraph"/>
        <w:numPr>
          <w:ilvl w:val="0"/>
          <w:numId w:val="5"/>
        </w:numPr>
        <w:spacing w:after="220" w:line="240" w:lineRule="auto"/>
        <w:rPr>
          <w:rFonts w:ascii="Arial" w:hAnsi="Arial" w:cs="Arial"/>
        </w:rPr>
      </w:pPr>
      <w:r w:rsidRPr="0055084D">
        <w:rPr>
          <w:rFonts w:ascii="Arial" w:hAnsi="Arial" w:cs="Arial"/>
        </w:rPr>
        <w:t>Improvements to infrastructure for cycling and walking funded through the National land Transport Fund.</w:t>
      </w:r>
    </w:p>
    <w:p w:rsidR="0055084D" w:rsidRDefault="00800E5F" w:rsidP="00557754">
      <w:pPr>
        <w:spacing w:after="220" w:line="240" w:lineRule="auto"/>
        <w:rPr>
          <w:rFonts w:ascii="Arial" w:hAnsi="Arial" w:cs="Arial"/>
        </w:rPr>
      </w:pPr>
      <w:r>
        <w:rPr>
          <w:rFonts w:ascii="Arial" w:hAnsi="Arial" w:cs="Arial"/>
        </w:rPr>
        <w:t xml:space="preserve">A section on </w:t>
      </w:r>
      <w:r w:rsidR="0055084D">
        <w:rPr>
          <w:rFonts w:ascii="Arial" w:hAnsi="Arial" w:cs="Arial"/>
        </w:rPr>
        <w:t xml:space="preserve">Oil Security and Transport </w:t>
      </w:r>
      <w:r w:rsidR="00E82F11">
        <w:rPr>
          <w:rFonts w:ascii="Arial" w:hAnsi="Arial" w:cs="Arial"/>
        </w:rPr>
        <w:t>includes</w:t>
      </w:r>
      <w:r w:rsidR="0055084D">
        <w:rPr>
          <w:rFonts w:ascii="Arial" w:hAnsi="Arial" w:cs="Arial"/>
        </w:rPr>
        <w:t>:</w:t>
      </w:r>
    </w:p>
    <w:p w:rsidR="0055084D" w:rsidRPr="0055084D" w:rsidRDefault="0055084D" w:rsidP="0055084D">
      <w:pPr>
        <w:pStyle w:val="ListParagraph"/>
        <w:numPr>
          <w:ilvl w:val="0"/>
          <w:numId w:val="6"/>
        </w:numPr>
        <w:spacing w:after="220" w:line="240" w:lineRule="auto"/>
        <w:rPr>
          <w:rFonts w:ascii="Arial" w:hAnsi="Arial" w:cs="Arial"/>
        </w:rPr>
      </w:pPr>
      <w:r w:rsidRPr="0055084D">
        <w:rPr>
          <w:rFonts w:ascii="Arial" w:hAnsi="Arial" w:cs="Arial"/>
        </w:rPr>
        <w:t>Improving the efficiency of our fleets and transport networks</w:t>
      </w:r>
    </w:p>
    <w:p w:rsidR="0055084D" w:rsidRPr="0055084D" w:rsidRDefault="0055084D" w:rsidP="0055084D">
      <w:pPr>
        <w:pStyle w:val="ListParagraph"/>
        <w:numPr>
          <w:ilvl w:val="0"/>
          <w:numId w:val="6"/>
        </w:numPr>
        <w:spacing w:after="220" w:line="240" w:lineRule="auto"/>
        <w:rPr>
          <w:rFonts w:ascii="Arial" w:hAnsi="Arial" w:cs="Arial"/>
        </w:rPr>
      </w:pPr>
      <w:r w:rsidRPr="0055084D">
        <w:rPr>
          <w:rFonts w:ascii="Arial" w:hAnsi="Arial" w:cs="Arial"/>
        </w:rPr>
        <w:t>Placing a cost on carbon emissions through the ETS (since halted at the transitional measures stage)</w:t>
      </w:r>
    </w:p>
    <w:p w:rsidR="0055084D" w:rsidRPr="0055084D" w:rsidRDefault="0055084D" w:rsidP="0055084D">
      <w:pPr>
        <w:pStyle w:val="ListParagraph"/>
        <w:numPr>
          <w:ilvl w:val="0"/>
          <w:numId w:val="6"/>
        </w:numPr>
        <w:spacing w:after="220" w:line="240" w:lineRule="auto"/>
        <w:rPr>
          <w:rFonts w:ascii="Arial" w:hAnsi="Arial" w:cs="Arial"/>
        </w:rPr>
      </w:pPr>
      <w:r w:rsidRPr="0055084D">
        <w:rPr>
          <w:rFonts w:ascii="Arial" w:hAnsi="Arial" w:cs="Arial"/>
        </w:rPr>
        <w:t>Maintain the 90-day oil reserve</w:t>
      </w:r>
    </w:p>
    <w:tbl>
      <w:tblPr>
        <w:tblStyle w:val="TableGrid"/>
        <w:tblW w:w="0" w:type="auto"/>
        <w:tblLayout w:type="fixed"/>
        <w:tblLook w:val="04A0"/>
      </w:tblPr>
      <w:tblGrid>
        <w:gridCol w:w="1310"/>
        <w:gridCol w:w="5979"/>
      </w:tblGrid>
      <w:tr w:rsidR="009C1699" w:rsidTr="008C3F33">
        <w:trPr>
          <w:trHeight w:val="3795"/>
        </w:trPr>
        <w:tc>
          <w:tcPr>
            <w:tcW w:w="1310" w:type="dxa"/>
            <w:tcBorders>
              <w:top w:val="nil"/>
              <w:left w:val="nil"/>
              <w:bottom w:val="nil"/>
              <w:right w:val="single" w:sz="4" w:space="0" w:color="auto"/>
            </w:tcBorders>
          </w:tcPr>
          <w:p w:rsidR="009C1699" w:rsidRDefault="009C1699" w:rsidP="00557754">
            <w:pPr>
              <w:spacing w:after="220"/>
              <w:rPr>
                <w:rFonts w:ascii="Arial" w:hAnsi="Arial" w:cs="Arial"/>
              </w:rPr>
            </w:pPr>
          </w:p>
        </w:tc>
        <w:tc>
          <w:tcPr>
            <w:tcW w:w="5979" w:type="dxa"/>
            <w:tcBorders>
              <w:top w:val="single" w:sz="4" w:space="0" w:color="auto"/>
              <w:left w:val="single" w:sz="4" w:space="0" w:color="auto"/>
              <w:bottom w:val="single" w:sz="4" w:space="0" w:color="auto"/>
              <w:right w:val="single" w:sz="4" w:space="0" w:color="auto"/>
            </w:tcBorders>
          </w:tcPr>
          <w:p w:rsidR="009C1699" w:rsidRDefault="009C1699" w:rsidP="00557754">
            <w:pPr>
              <w:spacing w:after="220"/>
              <w:rPr>
                <w:rFonts w:ascii="Arial" w:hAnsi="Arial" w:cs="Arial"/>
              </w:rPr>
            </w:pPr>
            <w:r w:rsidRPr="000C7FA4">
              <w:rPr>
                <w:rFonts w:ascii="Arial" w:hAnsi="Arial" w:cs="Arial"/>
                <w:noProof/>
                <w:lang w:eastAsia="en-NZ"/>
              </w:rPr>
              <w:drawing>
                <wp:inline distT="0" distB="0" distL="0" distR="0">
                  <wp:extent cx="3209925" cy="2057400"/>
                  <wp:effectExtent l="19050" t="0" r="9525" b="0"/>
                  <wp:docPr id="1" name="Picture 5" descr="C:\Users\Rutherford\Pictures\My Scans\Scan_Pic0025.jpg"/>
                  <wp:cNvGraphicFramePr/>
                  <a:graphic xmlns:a="http://schemas.openxmlformats.org/drawingml/2006/main">
                    <a:graphicData uri="http://schemas.openxmlformats.org/drawingml/2006/picture">
                      <pic:pic xmlns:pic="http://schemas.openxmlformats.org/drawingml/2006/picture">
                        <pic:nvPicPr>
                          <pic:cNvPr id="62467" name="Picture 2" descr="C:\Users\Rutherford\Pictures\My Scans\Scan_Pic0025.jpg"/>
                          <pic:cNvPicPr>
                            <a:picLocks noGrp="1" noChangeAspect="1" noChangeArrowheads="1"/>
                          </pic:cNvPicPr>
                        </pic:nvPicPr>
                        <pic:blipFill>
                          <a:blip r:embed="rId10" cstate="print"/>
                          <a:srcRect/>
                          <a:stretch>
                            <a:fillRect/>
                          </a:stretch>
                        </pic:blipFill>
                        <pic:spPr bwMode="auto">
                          <a:xfrm>
                            <a:off x="0" y="0"/>
                            <a:ext cx="3209925" cy="2057400"/>
                          </a:xfrm>
                          <a:prstGeom prst="rect">
                            <a:avLst/>
                          </a:prstGeom>
                          <a:noFill/>
                          <a:ln w="9525">
                            <a:noFill/>
                            <a:miter lim="800000"/>
                            <a:headEnd/>
                            <a:tailEnd/>
                          </a:ln>
                        </pic:spPr>
                      </pic:pic>
                    </a:graphicData>
                  </a:graphic>
                </wp:inline>
              </w:drawing>
            </w:r>
          </w:p>
        </w:tc>
      </w:tr>
    </w:tbl>
    <w:p w:rsidR="00623274" w:rsidRPr="00D752AA" w:rsidRDefault="009C1699" w:rsidP="00557754">
      <w:pPr>
        <w:spacing w:after="220" w:line="240" w:lineRule="auto"/>
        <w:rPr>
          <w:rFonts w:ascii="Arial" w:hAnsi="Arial" w:cs="Arial"/>
          <w:b/>
        </w:rPr>
      </w:pPr>
      <w:r w:rsidRPr="00D752AA">
        <w:rPr>
          <w:rFonts w:ascii="Arial" w:hAnsi="Arial" w:cs="Arial"/>
          <w:b/>
        </w:rPr>
        <w:tab/>
      </w:r>
      <w:r w:rsidR="008C3F33">
        <w:rPr>
          <w:rFonts w:ascii="Arial" w:hAnsi="Arial" w:cs="Arial"/>
          <w:b/>
        </w:rPr>
        <w:t xml:space="preserve">       </w:t>
      </w:r>
      <w:r w:rsidR="000C7FA4" w:rsidRPr="00D752AA">
        <w:rPr>
          <w:rFonts w:ascii="Arial" w:hAnsi="Arial" w:cs="Arial"/>
          <w:b/>
        </w:rPr>
        <w:t>Fig</w:t>
      </w:r>
      <w:r w:rsidR="008C3F33">
        <w:rPr>
          <w:rFonts w:ascii="Arial" w:hAnsi="Arial" w:cs="Arial"/>
          <w:b/>
        </w:rPr>
        <w:t>ure1</w:t>
      </w:r>
      <w:r w:rsidR="000C7FA4" w:rsidRPr="00D752AA">
        <w:rPr>
          <w:rFonts w:ascii="Arial" w:hAnsi="Arial" w:cs="Arial"/>
          <w:b/>
        </w:rPr>
        <w:t xml:space="preserve">: </w:t>
      </w:r>
      <w:r w:rsidR="000200A6" w:rsidRPr="00D752AA">
        <w:rPr>
          <w:rFonts w:ascii="Arial" w:hAnsi="Arial" w:cs="Arial"/>
          <w:b/>
        </w:rPr>
        <w:t>Projected future</w:t>
      </w:r>
      <w:r w:rsidR="000C7FA4" w:rsidRPr="00D752AA">
        <w:rPr>
          <w:rFonts w:ascii="Arial" w:hAnsi="Arial" w:cs="Arial"/>
          <w:b/>
        </w:rPr>
        <w:t xml:space="preserve"> sources of oil</w:t>
      </w:r>
      <w:r w:rsidR="00F17D91">
        <w:rPr>
          <w:rFonts w:ascii="Arial" w:hAnsi="Arial" w:cs="Arial"/>
          <w:b/>
        </w:rPr>
        <w:t xml:space="preserve"> (NZES, 2011)</w:t>
      </w:r>
    </w:p>
    <w:p w:rsidR="00623274" w:rsidRDefault="000200A6" w:rsidP="00557754">
      <w:pPr>
        <w:spacing w:after="220" w:line="240" w:lineRule="auto"/>
        <w:rPr>
          <w:rFonts w:ascii="Arial" w:hAnsi="Arial" w:cs="Arial"/>
        </w:rPr>
      </w:pPr>
      <w:r>
        <w:rPr>
          <w:rFonts w:ascii="Arial" w:hAnsi="Arial" w:cs="Arial"/>
        </w:rPr>
        <w:t xml:space="preserve">The reliance placed on increased oil exploration from around 2020 is clear from Figure </w:t>
      </w:r>
      <w:r w:rsidR="008C3F33">
        <w:rPr>
          <w:rFonts w:ascii="Arial" w:hAnsi="Arial" w:cs="Arial"/>
        </w:rPr>
        <w:t>1</w:t>
      </w:r>
      <w:r>
        <w:rPr>
          <w:rFonts w:ascii="Arial" w:hAnsi="Arial" w:cs="Arial"/>
        </w:rPr>
        <w:t>. Without new sources of transport fuels, oil imports may increase rapidly.</w:t>
      </w:r>
    </w:p>
    <w:p w:rsidR="00412013" w:rsidRDefault="00412013" w:rsidP="00623274">
      <w:pPr>
        <w:spacing w:after="0" w:line="240" w:lineRule="auto"/>
        <w:rPr>
          <w:rFonts w:ascii="Arial" w:hAnsi="Arial" w:cs="Arial"/>
        </w:rPr>
      </w:pPr>
    </w:p>
    <w:p w:rsidR="00232B6A" w:rsidRDefault="00412013" w:rsidP="00623274">
      <w:pPr>
        <w:spacing w:after="0" w:line="240" w:lineRule="auto"/>
        <w:rPr>
          <w:rFonts w:ascii="Arial" w:hAnsi="Arial" w:cs="Arial"/>
        </w:rPr>
      </w:pPr>
      <w:r>
        <w:rPr>
          <w:rFonts w:ascii="Arial" w:hAnsi="Arial" w:cs="Arial"/>
        </w:rPr>
        <w:t>A comparison of the 2007 and 2011</w:t>
      </w:r>
      <w:r w:rsidR="00232B6A">
        <w:rPr>
          <w:rFonts w:ascii="Arial" w:hAnsi="Arial" w:cs="Arial"/>
        </w:rPr>
        <w:t xml:space="preserve"> NZ</w:t>
      </w:r>
      <w:r w:rsidR="009C1699">
        <w:rPr>
          <w:rFonts w:ascii="Arial" w:hAnsi="Arial" w:cs="Arial"/>
        </w:rPr>
        <w:t xml:space="preserve"> </w:t>
      </w:r>
      <w:r w:rsidR="00232B6A">
        <w:rPr>
          <w:rFonts w:ascii="Arial" w:hAnsi="Arial" w:cs="Arial"/>
        </w:rPr>
        <w:t>E</w:t>
      </w:r>
      <w:r w:rsidR="009C1699">
        <w:rPr>
          <w:rFonts w:ascii="Arial" w:hAnsi="Arial" w:cs="Arial"/>
        </w:rPr>
        <w:t xml:space="preserve">nergy </w:t>
      </w:r>
      <w:r w:rsidR="00232B6A">
        <w:rPr>
          <w:rFonts w:ascii="Arial" w:hAnsi="Arial" w:cs="Arial"/>
        </w:rPr>
        <w:t>S</w:t>
      </w:r>
      <w:r w:rsidR="009C1699">
        <w:rPr>
          <w:rFonts w:ascii="Arial" w:hAnsi="Arial" w:cs="Arial"/>
        </w:rPr>
        <w:t>trateg</w:t>
      </w:r>
      <w:r w:rsidR="001D5614">
        <w:rPr>
          <w:rFonts w:ascii="Arial" w:hAnsi="Arial" w:cs="Arial"/>
        </w:rPr>
        <w:t>y</w:t>
      </w:r>
      <w:r w:rsidR="001C18F7">
        <w:rPr>
          <w:rFonts w:ascii="Arial" w:hAnsi="Arial" w:cs="Arial"/>
        </w:rPr>
        <w:t xml:space="preserve"> and</w:t>
      </w:r>
      <w:r w:rsidR="001D5614">
        <w:rPr>
          <w:rFonts w:ascii="Arial" w:hAnsi="Arial" w:cs="Arial"/>
        </w:rPr>
        <w:t xml:space="preserve"> the</w:t>
      </w:r>
      <w:r w:rsidR="001C18F7">
        <w:rPr>
          <w:rFonts w:ascii="Arial" w:hAnsi="Arial" w:cs="Arial"/>
        </w:rPr>
        <w:t xml:space="preserve"> NZ</w:t>
      </w:r>
      <w:r w:rsidR="009C1699">
        <w:rPr>
          <w:rFonts w:ascii="Arial" w:hAnsi="Arial" w:cs="Arial"/>
        </w:rPr>
        <w:t xml:space="preserve"> </w:t>
      </w:r>
      <w:r w:rsidR="001C18F7">
        <w:rPr>
          <w:rFonts w:ascii="Arial" w:hAnsi="Arial" w:cs="Arial"/>
        </w:rPr>
        <w:t>E</w:t>
      </w:r>
      <w:r w:rsidR="009C1699">
        <w:rPr>
          <w:rFonts w:ascii="Arial" w:hAnsi="Arial" w:cs="Arial"/>
        </w:rPr>
        <w:t>nergy and Efficiency Conservation Strateg</w:t>
      </w:r>
      <w:r w:rsidR="001D5614">
        <w:rPr>
          <w:rFonts w:ascii="Arial" w:hAnsi="Arial" w:cs="Arial"/>
        </w:rPr>
        <w:t xml:space="preserve">y (EECS, 2011) </w:t>
      </w:r>
      <w:r>
        <w:rPr>
          <w:rFonts w:ascii="Arial" w:hAnsi="Arial" w:cs="Arial"/>
        </w:rPr>
        <w:t>reveals</w:t>
      </w:r>
      <w:r w:rsidR="00232B6A">
        <w:rPr>
          <w:rFonts w:ascii="Arial" w:hAnsi="Arial" w:cs="Arial"/>
        </w:rPr>
        <w:t xml:space="preserve"> some interesting changes</w:t>
      </w:r>
      <w:r w:rsidR="00F73D26">
        <w:rPr>
          <w:rFonts w:ascii="Arial" w:hAnsi="Arial" w:cs="Arial"/>
        </w:rPr>
        <w:t>.</w:t>
      </w:r>
    </w:p>
    <w:p w:rsidR="00232B6A" w:rsidRDefault="00232B6A" w:rsidP="00623274">
      <w:pPr>
        <w:spacing w:after="0" w:line="240" w:lineRule="auto"/>
        <w:rPr>
          <w:rFonts w:ascii="Arial" w:hAnsi="Arial" w:cs="Arial"/>
        </w:rPr>
      </w:pPr>
    </w:p>
    <w:p w:rsidR="001C18F7" w:rsidRDefault="001C18F7" w:rsidP="00623274">
      <w:pPr>
        <w:spacing w:after="0" w:line="240" w:lineRule="auto"/>
        <w:rPr>
          <w:rFonts w:ascii="Arial" w:hAnsi="Arial" w:cs="Arial"/>
        </w:rPr>
      </w:pPr>
      <w:r>
        <w:rPr>
          <w:rFonts w:ascii="Arial" w:hAnsi="Arial" w:cs="Arial"/>
        </w:rPr>
        <w:t>NZ</w:t>
      </w:r>
      <w:r w:rsidR="002329AD">
        <w:rPr>
          <w:rFonts w:ascii="Arial" w:hAnsi="Arial" w:cs="Arial"/>
        </w:rPr>
        <w:t xml:space="preserve"> </w:t>
      </w:r>
      <w:r>
        <w:rPr>
          <w:rFonts w:ascii="Arial" w:hAnsi="Arial" w:cs="Arial"/>
        </w:rPr>
        <w:t>E</w:t>
      </w:r>
      <w:r w:rsidR="002329AD">
        <w:rPr>
          <w:rFonts w:ascii="Arial" w:hAnsi="Arial" w:cs="Arial"/>
        </w:rPr>
        <w:t xml:space="preserve">nergy </w:t>
      </w:r>
      <w:r>
        <w:rPr>
          <w:rFonts w:ascii="Arial" w:hAnsi="Arial" w:cs="Arial"/>
        </w:rPr>
        <w:t>S</w:t>
      </w:r>
      <w:r w:rsidR="002329AD">
        <w:rPr>
          <w:rFonts w:ascii="Arial" w:hAnsi="Arial" w:cs="Arial"/>
        </w:rPr>
        <w:t>trategy</w:t>
      </w:r>
      <w:r>
        <w:rPr>
          <w:rFonts w:ascii="Arial" w:hAnsi="Arial" w:cs="Arial"/>
        </w:rPr>
        <w:t xml:space="preserve"> 2011 </w:t>
      </w:r>
      <w:proofErr w:type="spellStart"/>
      <w:r>
        <w:rPr>
          <w:rFonts w:ascii="Arial" w:hAnsi="Arial" w:cs="Arial"/>
        </w:rPr>
        <w:t>vs</w:t>
      </w:r>
      <w:proofErr w:type="spellEnd"/>
      <w:r>
        <w:rPr>
          <w:rFonts w:ascii="Arial" w:hAnsi="Arial" w:cs="Arial"/>
        </w:rPr>
        <w:t xml:space="preserve"> 2007</w:t>
      </w:r>
    </w:p>
    <w:p w:rsidR="00AD4C25" w:rsidRPr="001C18F7" w:rsidRDefault="00AD4C25" w:rsidP="00AD4C25">
      <w:pPr>
        <w:pStyle w:val="ListParagraph"/>
        <w:numPr>
          <w:ilvl w:val="0"/>
          <w:numId w:val="11"/>
        </w:numPr>
        <w:spacing w:after="0" w:line="240" w:lineRule="auto"/>
        <w:rPr>
          <w:rFonts w:ascii="Arial" w:hAnsi="Arial" w:cs="Arial"/>
        </w:rPr>
      </w:pPr>
      <w:r>
        <w:rPr>
          <w:rFonts w:ascii="Arial" w:hAnsi="Arial" w:cs="Arial"/>
        </w:rPr>
        <w:t>T</w:t>
      </w:r>
      <w:r w:rsidRPr="001C18F7">
        <w:rPr>
          <w:rFonts w:ascii="Arial" w:hAnsi="Arial" w:cs="Arial"/>
        </w:rPr>
        <w:t>he</w:t>
      </w:r>
      <w:r>
        <w:rPr>
          <w:rFonts w:ascii="Arial" w:hAnsi="Arial" w:cs="Arial"/>
        </w:rPr>
        <w:t xml:space="preserve"> strategy’s</w:t>
      </w:r>
      <w:r w:rsidRPr="001C18F7">
        <w:rPr>
          <w:rFonts w:ascii="Arial" w:hAnsi="Arial" w:cs="Arial"/>
        </w:rPr>
        <w:t xml:space="preserve"> time horizon</w:t>
      </w:r>
      <w:r>
        <w:rPr>
          <w:rFonts w:ascii="Arial" w:hAnsi="Arial" w:cs="Arial"/>
        </w:rPr>
        <w:t xml:space="preserve"> </w:t>
      </w:r>
      <w:r w:rsidR="00BA6C9D">
        <w:rPr>
          <w:rFonts w:ascii="Arial" w:hAnsi="Arial" w:cs="Arial"/>
        </w:rPr>
        <w:t>has been</w:t>
      </w:r>
      <w:r>
        <w:rPr>
          <w:rFonts w:ascii="Arial" w:hAnsi="Arial" w:cs="Arial"/>
        </w:rPr>
        <w:t xml:space="preserve"> substantially reduced</w:t>
      </w:r>
      <w:r w:rsidRPr="001C18F7">
        <w:rPr>
          <w:rFonts w:ascii="Arial" w:hAnsi="Arial" w:cs="Arial"/>
        </w:rPr>
        <w:t xml:space="preserve"> from 30 to 10 years</w:t>
      </w:r>
    </w:p>
    <w:p w:rsidR="00E82F11" w:rsidRPr="00966FA1" w:rsidRDefault="00E82F11" w:rsidP="00966FA1">
      <w:pPr>
        <w:pStyle w:val="ListParagraph"/>
        <w:numPr>
          <w:ilvl w:val="0"/>
          <w:numId w:val="11"/>
        </w:numPr>
        <w:spacing w:after="0" w:line="240" w:lineRule="auto"/>
        <w:rPr>
          <w:rFonts w:ascii="Arial" w:hAnsi="Arial" w:cs="Arial"/>
        </w:rPr>
      </w:pPr>
      <w:r w:rsidRPr="00966FA1">
        <w:rPr>
          <w:rFonts w:ascii="Arial" w:hAnsi="Arial" w:cs="Arial"/>
        </w:rPr>
        <w:t>The NZES 2007 transport objective “to reduce the overall energy use and greenhouse gas emissions from New Zealand’s transport system</w:t>
      </w:r>
      <w:r w:rsidR="00966FA1" w:rsidRPr="00966FA1">
        <w:rPr>
          <w:rFonts w:ascii="Arial" w:hAnsi="Arial" w:cs="Arial"/>
        </w:rPr>
        <w:t xml:space="preserve">” is not included in </w:t>
      </w:r>
      <w:r w:rsidR="002329AD">
        <w:rPr>
          <w:rFonts w:ascii="Arial" w:hAnsi="Arial" w:cs="Arial"/>
        </w:rPr>
        <w:t xml:space="preserve">the </w:t>
      </w:r>
      <w:r w:rsidR="00966FA1" w:rsidRPr="00966FA1">
        <w:rPr>
          <w:rFonts w:ascii="Arial" w:hAnsi="Arial" w:cs="Arial"/>
        </w:rPr>
        <w:t>2011 str</w:t>
      </w:r>
      <w:r w:rsidR="00966FA1">
        <w:rPr>
          <w:rFonts w:ascii="Arial" w:hAnsi="Arial" w:cs="Arial"/>
        </w:rPr>
        <w:t>at</w:t>
      </w:r>
      <w:r w:rsidR="00966FA1" w:rsidRPr="00966FA1">
        <w:rPr>
          <w:rFonts w:ascii="Arial" w:hAnsi="Arial" w:cs="Arial"/>
        </w:rPr>
        <w:t>egy</w:t>
      </w:r>
      <w:r w:rsidR="00AD4C25">
        <w:rPr>
          <w:rFonts w:ascii="Arial" w:hAnsi="Arial" w:cs="Arial"/>
        </w:rPr>
        <w:t>,</w:t>
      </w:r>
      <w:r w:rsidR="00966FA1" w:rsidRPr="00966FA1">
        <w:rPr>
          <w:rFonts w:ascii="Arial" w:hAnsi="Arial" w:cs="Arial"/>
        </w:rPr>
        <w:t xml:space="preserve"> nor is reference to a low carbon future.</w:t>
      </w:r>
    </w:p>
    <w:p w:rsidR="001C18F7" w:rsidRPr="001C18F7" w:rsidRDefault="00966FA1" w:rsidP="001C18F7">
      <w:pPr>
        <w:pStyle w:val="ListParagraph"/>
        <w:numPr>
          <w:ilvl w:val="0"/>
          <w:numId w:val="8"/>
        </w:numPr>
        <w:spacing w:after="0" w:line="240" w:lineRule="auto"/>
        <w:rPr>
          <w:rFonts w:ascii="Arial" w:hAnsi="Arial" w:cs="Arial"/>
        </w:rPr>
      </w:pPr>
      <w:r>
        <w:rPr>
          <w:rFonts w:ascii="Arial" w:hAnsi="Arial" w:cs="Arial"/>
        </w:rPr>
        <w:t>T</w:t>
      </w:r>
      <w:r w:rsidR="00412013" w:rsidRPr="001C18F7">
        <w:rPr>
          <w:rFonts w:ascii="Arial" w:hAnsi="Arial" w:cs="Arial"/>
        </w:rPr>
        <w:t>ravel demand management</w:t>
      </w:r>
      <w:r w:rsidR="00AD4C25">
        <w:rPr>
          <w:rFonts w:ascii="Arial" w:hAnsi="Arial" w:cs="Arial"/>
        </w:rPr>
        <w:t xml:space="preserve"> </w:t>
      </w:r>
      <w:r w:rsidR="00412013" w:rsidRPr="001C18F7">
        <w:rPr>
          <w:rFonts w:ascii="Arial" w:hAnsi="Arial" w:cs="Arial"/>
        </w:rPr>
        <w:t>is no longer directly referred to</w:t>
      </w:r>
      <w:r w:rsidR="00AD4C25">
        <w:rPr>
          <w:rFonts w:ascii="Arial" w:hAnsi="Arial" w:cs="Arial"/>
        </w:rPr>
        <w:t>.</w:t>
      </w:r>
    </w:p>
    <w:p w:rsidR="00232B6A" w:rsidRPr="001C18F7" w:rsidRDefault="00966FA1" w:rsidP="001C18F7">
      <w:pPr>
        <w:pStyle w:val="ListParagraph"/>
        <w:numPr>
          <w:ilvl w:val="0"/>
          <w:numId w:val="8"/>
        </w:numPr>
        <w:spacing w:after="0" w:line="240" w:lineRule="auto"/>
        <w:rPr>
          <w:rFonts w:ascii="Arial" w:hAnsi="Arial" w:cs="Arial"/>
        </w:rPr>
      </w:pPr>
      <w:r>
        <w:rPr>
          <w:rFonts w:ascii="Arial" w:hAnsi="Arial" w:cs="Arial"/>
        </w:rPr>
        <w:t>T</w:t>
      </w:r>
      <w:r w:rsidR="00232B6A" w:rsidRPr="001C18F7">
        <w:rPr>
          <w:rFonts w:ascii="Arial" w:hAnsi="Arial" w:cs="Arial"/>
        </w:rPr>
        <w:t>he aim of increasing freight</w:t>
      </w:r>
      <w:r w:rsidR="001C18F7" w:rsidRPr="001C18F7">
        <w:rPr>
          <w:rFonts w:ascii="Arial" w:hAnsi="Arial" w:cs="Arial"/>
        </w:rPr>
        <w:t xml:space="preserve"> movement</w:t>
      </w:r>
      <w:r w:rsidR="00232B6A" w:rsidRPr="001C18F7">
        <w:rPr>
          <w:rFonts w:ascii="Arial" w:hAnsi="Arial" w:cs="Arial"/>
        </w:rPr>
        <w:t xml:space="preserve"> by rail and </w:t>
      </w:r>
      <w:r w:rsidR="001C18F7" w:rsidRPr="001C18F7">
        <w:rPr>
          <w:rFonts w:ascii="Arial" w:hAnsi="Arial" w:cs="Arial"/>
        </w:rPr>
        <w:t>coastal shipping has been replaced by</w:t>
      </w:r>
      <w:r w:rsidR="00232B6A" w:rsidRPr="001C18F7">
        <w:rPr>
          <w:rFonts w:ascii="Arial" w:hAnsi="Arial" w:cs="Arial"/>
        </w:rPr>
        <w:t xml:space="preserve"> </w:t>
      </w:r>
      <w:r w:rsidR="001C18F7" w:rsidRPr="001C18F7">
        <w:rPr>
          <w:rFonts w:ascii="Arial" w:hAnsi="Arial" w:cs="Arial"/>
        </w:rPr>
        <w:t>a reference to efficient movement of freight by rail</w:t>
      </w:r>
    </w:p>
    <w:p w:rsidR="00412013" w:rsidRDefault="00966FA1" w:rsidP="001C18F7">
      <w:pPr>
        <w:pStyle w:val="ListParagraph"/>
        <w:numPr>
          <w:ilvl w:val="0"/>
          <w:numId w:val="8"/>
        </w:numPr>
        <w:spacing w:after="0" w:line="240" w:lineRule="auto"/>
        <w:rPr>
          <w:rFonts w:ascii="Arial" w:hAnsi="Arial" w:cs="Arial"/>
        </w:rPr>
      </w:pPr>
      <w:proofErr w:type="spellStart"/>
      <w:r>
        <w:rPr>
          <w:rFonts w:ascii="Arial" w:hAnsi="Arial" w:cs="Arial"/>
        </w:rPr>
        <w:t>R</w:t>
      </w:r>
      <w:r w:rsidR="001C18F7" w:rsidRPr="001C18F7">
        <w:rPr>
          <w:rFonts w:ascii="Arial" w:hAnsi="Arial" w:cs="Arial"/>
        </w:rPr>
        <w:t>oading</w:t>
      </w:r>
      <w:proofErr w:type="spellEnd"/>
      <w:r w:rsidR="001C18F7" w:rsidRPr="001C18F7">
        <w:rPr>
          <w:rFonts w:ascii="Arial" w:hAnsi="Arial" w:cs="Arial"/>
        </w:rPr>
        <w:t xml:space="preserve"> investment through </w:t>
      </w:r>
      <w:r w:rsidR="00232B6A" w:rsidRPr="001C18F7">
        <w:rPr>
          <w:rFonts w:ascii="Arial" w:hAnsi="Arial" w:cs="Arial"/>
        </w:rPr>
        <w:t>“Roads of National Significance” investment is</w:t>
      </w:r>
      <w:r w:rsidR="001C18F7" w:rsidRPr="001C18F7">
        <w:rPr>
          <w:rFonts w:ascii="Arial" w:hAnsi="Arial" w:cs="Arial"/>
        </w:rPr>
        <w:t xml:space="preserve"> now</w:t>
      </w:r>
      <w:r w:rsidR="00232B6A" w:rsidRPr="001C18F7">
        <w:rPr>
          <w:rFonts w:ascii="Arial" w:hAnsi="Arial" w:cs="Arial"/>
        </w:rPr>
        <w:t xml:space="preserve"> specifically </w:t>
      </w:r>
      <w:r w:rsidR="001C18F7" w:rsidRPr="001C18F7">
        <w:rPr>
          <w:rFonts w:ascii="Arial" w:hAnsi="Arial" w:cs="Arial"/>
        </w:rPr>
        <w:t>mentioned</w:t>
      </w:r>
      <w:r w:rsidR="00412013" w:rsidRPr="001C18F7">
        <w:rPr>
          <w:rFonts w:ascii="Arial" w:hAnsi="Arial" w:cs="Arial"/>
        </w:rPr>
        <w:t xml:space="preserve"> </w:t>
      </w:r>
    </w:p>
    <w:p w:rsidR="00223C3A" w:rsidRDefault="00966FA1" w:rsidP="001C18F7">
      <w:pPr>
        <w:pStyle w:val="ListParagraph"/>
        <w:numPr>
          <w:ilvl w:val="0"/>
          <w:numId w:val="8"/>
        </w:numPr>
        <w:spacing w:after="0" w:line="240" w:lineRule="auto"/>
        <w:rPr>
          <w:rFonts w:ascii="Arial" w:hAnsi="Arial" w:cs="Arial"/>
        </w:rPr>
      </w:pPr>
      <w:r>
        <w:rPr>
          <w:rFonts w:ascii="Arial" w:hAnsi="Arial" w:cs="Arial"/>
        </w:rPr>
        <w:t>E</w:t>
      </w:r>
      <w:r w:rsidR="00223C3A">
        <w:rPr>
          <w:rFonts w:ascii="Arial" w:hAnsi="Arial" w:cs="Arial"/>
        </w:rPr>
        <w:t>nergy/oil security</w:t>
      </w:r>
      <w:r w:rsidR="00F65C7F">
        <w:rPr>
          <w:rFonts w:ascii="Arial" w:hAnsi="Arial" w:cs="Arial"/>
        </w:rPr>
        <w:t xml:space="preserve"> and pricing</w:t>
      </w:r>
      <w:r w:rsidR="00223C3A">
        <w:rPr>
          <w:rFonts w:ascii="Arial" w:hAnsi="Arial" w:cs="Arial"/>
        </w:rPr>
        <w:t xml:space="preserve"> </w:t>
      </w:r>
      <w:r w:rsidR="00F65C7F">
        <w:rPr>
          <w:rFonts w:ascii="Arial" w:hAnsi="Arial" w:cs="Arial"/>
        </w:rPr>
        <w:t>are</w:t>
      </w:r>
      <w:r w:rsidR="00223C3A">
        <w:rPr>
          <w:rFonts w:ascii="Arial" w:hAnsi="Arial" w:cs="Arial"/>
        </w:rPr>
        <w:t xml:space="preserve"> now referred</w:t>
      </w:r>
      <w:r w:rsidR="00F65C7F">
        <w:rPr>
          <w:rFonts w:ascii="Arial" w:hAnsi="Arial" w:cs="Arial"/>
        </w:rPr>
        <w:t xml:space="preserve"> to</w:t>
      </w:r>
      <w:r w:rsidR="00223C3A">
        <w:rPr>
          <w:rFonts w:ascii="Arial" w:hAnsi="Arial" w:cs="Arial"/>
        </w:rPr>
        <w:t xml:space="preserve">, as is increasing oil exploration activity </w:t>
      </w:r>
    </w:p>
    <w:p w:rsidR="00966FA1" w:rsidRDefault="00966FA1" w:rsidP="001C18F7">
      <w:pPr>
        <w:pStyle w:val="ListParagraph"/>
        <w:numPr>
          <w:ilvl w:val="0"/>
          <w:numId w:val="8"/>
        </w:numPr>
        <w:spacing w:after="0" w:line="240" w:lineRule="auto"/>
        <w:rPr>
          <w:rFonts w:ascii="Arial" w:hAnsi="Arial" w:cs="Arial"/>
        </w:rPr>
      </w:pPr>
      <w:r>
        <w:rPr>
          <w:rFonts w:ascii="Arial" w:hAnsi="Arial" w:cs="Arial"/>
        </w:rPr>
        <w:t>The</w:t>
      </w:r>
      <w:r w:rsidR="00AD4C25">
        <w:rPr>
          <w:rFonts w:ascii="Arial" w:hAnsi="Arial" w:cs="Arial"/>
        </w:rPr>
        <w:t>re is a</w:t>
      </w:r>
      <w:r>
        <w:rPr>
          <w:rFonts w:ascii="Arial" w:hAnsi="Arial" w:cs="Arial"/>
        </w:rPr>
        <w:t xml:space="preserve"> target to reduce GHG emissions by 10-20% below 1990 levels by 2020</w:t>
      </w:r>
      <w:r w:rsidR="00AD4C25">
        <w:rPr>
          <w:rFonts w:ascii="Arial" w:hAnsi="Arial" w:cs="Arial"/>
        </w:rPr>
        <w:t>, “if there is a comprehensive global agreement and certain conditions are met</w:t>
      </w:r>
      <w:r w:rsidR="0091169B">
        <w:rPr>
          <w:rFonts w:ascii="Arial" w:hAnsi="Arial" w:cs="Arial"/>
        </w:rPr>
        <w:t>”</w:t>
      </w:r>
      <w:r w:rsidR="00AD4C25">
        <w:rPr>
          <w:rFonts w:ascii="Arial" w:hAnsi="Arial" w:cs="Arial"/>
        </w:rPr>
        <w:t>. This target has subsequently been replaced by the 5% reduction mentioned above.</w:t>
      </w:r>
      <w:r>
        <w:rPr>
          <w:rFonts w:ascii="Arial" w:hAnsi="Arial" w:cs="Arial"/>
        </w:rPr>
        <w:t xml:space="preserve"> </w:t>
      </w:r>
    </w:p>
    <w:p w:rsidR="00AD4C25" w:rsidRPr="001C18F7" w:rsidRDefault="00AD4C25" w:rsidP="001C18F7">
      <w:pPr>
        <w:pStyle w:val="ListParagraph"/>
        <w:numPr>
          <w:ilvl w:val="0"/>
          <w:numId w:val="8"/>
        </w:numPr>
        <w:spacing w:after="0" w:line="240" w:lineRule="auto"/>
        <w:rPr>
          <w:rFonts w:ascii="Arial" w:hAnsi="Arial" w:cs="Arial"/>
        </w:rPr>
      </w:pPr>
      <w:r>
        <w:rPr>
          <w:rFonts w:ascii="Arial" w:hAnsi="Arial" w:cs="Arial"/>
        </w:rPr>
        <w:t>The target that 90% of electricity generation be from renewable sources by 2025 (74% in 2010) is included</w:t>
      </w:r>
      <w:r w:rsidR="00086D8E">
        <w:rPr>
          <w:rFonts w:ascii="Arial" w:hAnsi="Arial" w:cs="Arial"/>
        </w:rPr>
        <w:t xml:space="preserve"> in NZES 2011</w:t>
      </w:r>
      <w:r>
        <w:rPr>
          <w:rFonts w:ascii="Arial" w:hAnsi="Arial" w:cs="Arial"/>
        </w:rPr>
        <w:t xml:space="preserve"> </w:t>
      </w:r>
      <w:r w:rsidR="0091169B">
        <w:rPr>
          <w:rFonts w:ascii="Arial" w:hAnsi="Arial" w:cs="Arial"/>
        </w:rPr>
        <w:t xml:space="preserve">“provided that </w:t>
      </w:r>
      <w:r>
        <w:rPr>
          <w:rFonts w:ascii="Arial" w:hAnsi="Arial" w:cs="Arial"/>
        </w:rPr>
        <w:t>this does not affect security of supply”.</w:t>
      </w:r>
    </w:p>
    <w:p w:rsidR="00412013" w:rsidRDefault="00412013" w:rsidP="00623274">
      <w:pPr>
        <w:spacing w:after="0" w:line="240" w:lineRule="auto"/>
        <w:rPr>
          <w:rFonts w:ascii="Arial" w:hAnsi="Arial" w:cs="Arial"/>
        </w:rPr>
      </w:pPr>
    </w:p>
    <w:p w:rsidR="001C18F7" w:rsidRDefault="002329AD" w:rsidP="00623274">
      <w:pPr>
        <w:spacing w:after="0" w:line="240" w:lineRule="auto"/>
        <w:rPr>
          <w:rFonts w:ascii="Arial" w:hAnsi="Arial" w:cs="Arial"/>
        </w:rPr>
      </w:pPr>
      <w:r>
        <w:rPr>
          <w:rFonts w:ascii="Arial" w:hAnsi="Arial" w:cs="Arial"/>
        </w:rPr>
        <w:t xml:space="preserve">Energy Efficiency </w:t>
      </w:r>
      <w:r w:rsidR="001D5614">
        <w:rPr>
          <w:rFonts w:ascii="Arial" w:hAnsi="Arial" w:cs="Arial"/>
        </w:rPr>
        <w:t>and</w:t>
      </w:r>
      <w:r>
        <w:rPr>
          <w:rFonts w:ascii="Arial" w:hAnsi="Arial" w:cs="Arial"/>
        </w:rPr>
        <w:t xml:space="preserve"> Conservation Strategy</w:t>
      </w:r>
      <w:r w:rsidR="001C18F7">
        <w:rPr>
          <w:rFonts w:ascii="Arial" w:hAnsi="Arial" w:cs="Arial"/>
        </w:rPr>
        <w:t xml:space="preserve"> 2011 </w:t>
      </w:r>
      <w:proofErr w:type="spellStart"/>
      <w:r w:rsidR="001C18F7">
        <w:rPr>
          <w:rFonts w:ascii="Arial" w:hAnsi="Arial" w:cs="Arial"/>
        </w:rPr>
        <w:t>vs</w:t>
      </w:r>
      <w:proofErr w:type="spellEnd"/>
      <w:r w:rsidR="001C18F7">
        <w:rPr>
          <w:rFonts w:ascii="Arial" w:hAnsi="Arial" w:cs="Arial"/>
        </w:rPr>
        <w:t xml:space="preserve"> 2007</w:t>
      </w:r>
    </w:p>
    <w:p w:rsidR="00F65C7F" w:rsidRPr="00F65C7F" w:rsidRDefault="00AD4C25" w:rsidP="00F65C7F">
      <w:pPr>
        <w:pStyle w:val="ListParagraph"/>
        <w:numPr>
          <w:ilvl w:val="0"/>
          <w:numId w:val="10"/>
        </w:numPr>
        <w:spacing w:after="0" w:line="240" w:lineRule="auto"/>
        <w:rPr>
          <w:rFonts w:ascii="Arial" w:hAnsi="Arial" w:cs="Arial"/>
        </w:rPr>
      </w:pPr>
      <w:r>
        <w:rPr>
          <w:rFonts w:ascii="Arial" w:hAnsi="Arial" w:cs="Arial"/>
        </w:rPr>
        <w:t>T</w:t>
      </w:r>
      <w:r w:rsidR="00F65C7F" w:rsidRPr="00F65C7F">
        <w:rPr>
          <w:rFonts w:ascii="Arial" w:hAnsi="Arial" w:cs="Arial"/>
        </w:rPr>
        <w:t>he strategy is</w:t>
      </w:r>
      <w:r w:rsidR="002329AD">
        <w:rPr>
          <w:rFonts w:ascii="Arial" w:hAnsi="Arial" w:cs="Arial"/>
        </w:rPr>
        <w:t xml:space="preserve"> now</w:t>
      </w:r>
      <w:r w:rsidR="00F65C7F" w:rsidRPr="00F65C7F">
        <w:rPr>
          <w:rFonts w:ascii="Arial" w:hAnsi="Arial" w:cs="Arial"/>
        </w:rPr>
        <w:t xml:space="preserve"> </w:t>
      </w:r>
      <w:r w:rsidR="00F65C7F">
        <w:rPr>
          <w:rFonts w:ascii="Arial" w:hAnsi="Arial" w:cs="Arial"/>
        </w:rPr>
        <w:t>limited</w:t>
      </w:r>
      <w:r w:rsidR="00F65C7F" w:rsidRPr="00F65C7F">
        <w:rPr>
          <w:rFonts w:ascii="Arial" w:hAnsi="Arial" w:cs="Arial"/>
        </w:rPr>
        <w:t xml:space="preserve"> to a</w:t>
      </w:r>
      <w:r w:rsidR="00F1634D">
        <w:rPr>
          <w:rFonts w:ascii="Arial" w:hAnsi="Arial" w:cs="Arial"/>
        </w:rPr>
        <w:t xml:space="preserve"> very short</w:t>
      </w:r>
      <w:r w:rsidR="00F65C7F" w:rsidRPr="00F65C7F">
        <w:rPr>
          <w:rFonts w:ascii="Arial" w:hAnsi="Arial" w:cs="Arial"/>
        </w:rPr>
        <w:t xml:space="preserve"> 5 year horizon</w:t>
      </w:r>
      <w:r w:rsidR="00F65C7F">
        <w:rPr>
          <w:rFonts w:ascii="Arial" w:hAnsi="Arial" w:cs="Arial"/>
        </w:rPr>
        <w:t xml:space="preserve"> and is reduced in scope</w:t>
      </w:r>
    </w:p>
    <w:p w:rsidR="00086D8E" w:rsidRDefault="00086D8E" w:rsidP="00AD4C25">
      <w:pPr>
        <w:pStyle w:val="ListParagraph"/>
        <w:numPr>
          <w:ilvl w:val="0"/>
          <w:numId w:val="10"/>
        </w:numPr>
        <w:spacing w:after="0" w:line="240" w:lineRule="auto"/>
        <w:rPr>
          <w:rFonts w:ascii="Arial" w:hAnsi="Arial" w:cs="Arial"/>
        </w:rPr>
      </w:pPr>
      <w:r>
        <w:rPr>
          <w:rFonts w:ascii="Arial" w:hAnsi="Arial" w:cs="Arial"/>
        </w:rPr>
        <w:t>The</w:t>
      </w:r>
      <w:r w:rsidR="002329AD">
        <w:rPr>
          <w:rFonts w:ascii="Arial" w:hAnsi="Arial" w:cs="Arial"/>
        </w:rPr>
        <w:t xml:space="preserve"> 2011</w:t>
      </w:r>
      <w:r w:rsidR="00FC34D8">
        <w:rPr>
          <w:rFonts w:ascii="Arial" w:hAnsi="Arial" w:cs="Arial"/>
        </w:rPr>
        <w:t xml:space="preserve"> </w:t>
      </w:r>
      <w:r w:rsidR="001D5614">
        <w:rPr>
          <w:rFonts w:ascii="Arial" w:hAnsi="Arial" w:cs="Arial"/>
        </w:rPr>
        <w:t>EECS</w:t>
      </w:r>
      <w:r w:rsidR="00FC34D8">
        <w:rPr>
          <w:rFonts w:ascii="Arial" w:hAnsi="Arial" w:cs="Arial"/>
        </w:rPr>
        <w:t xml:space="preserve"> </w:t>
      </w:r>
      <w:r w:rsidR="002329AD">
        <w:rPr>
          <w:rFonts w:ascii="Arial" w:hAnsi="Arial" w:cs="Arial"/>
        </w:rPr>
        <w:t>has a</w:t>
      </w:r>
      <w:r>
        <w:rPr>
          <w:rFonts w:ascii="Arial" w:hAnsi="Arial" w:cs="Arial"/>
        </w:rPr>
        <w:t xml:space="preserve"> transport objective</w:t>
      </w:r>
      <w:r w:rsidR="002329AD">
        <w:rPr>
          <w:rFonts w:ascii="Arial" w:hAnsi="Arial" w:cs="Arial"/>
        </w:rPr>
        <w:t xml:space="preserve"> which</w:t>
      </w:r>
      <w:r>
        <w:rPr>
          <w:rFonts w:ascii="Arial" w:hAnsi="Arial" w:cs="Arial"/>
        </w:rPr>
        <w:t xml:space="preserve"> is </w:t>
      </w:r>
      <w:r w:rsidR="002329AD">
        <w:rPr>
          <w:rFonts w:ascii="Arial" w:hAnsi="Arial" w:cs="Arial"/>
        </w:rPr>
        <w:t>“</w:t>
      </w:r>
      <w:r>
        <w:rPr>
          <w:rFonts w:ascii="Arial" w:hAnsi="Arial" w:cs="Arial"/>
        </w:rPr>
        <w:t>a more energy efficient transport system with a greater diversity of fuels and alternative energy technologies</w:t>
      </w:r>
      <w:r w:rsidR="002329AD">
        <w:rPr>
          <w:rFonts w:ascii="Arial" w:hAnsi="Arial" w:cs="Arial"/>
        </w:rPr>
        <w:t>”</w:t>
      </w:r>
      <w:r>
        <w:rPr>
          <w:rFonts w:ascii="Arial" w:hAnsi="Arial" w:cs="Arial"/>
        </w:rPr>
        <w:t>.</w:t>
      </w:r>
    </w:p>
    <w:p w:rsidR="00AD4C25" w:rsidRDefault="00AD4C25" w:rsidP="00AD4C25">
      <w:pPr>
        <w:pStyle w:val="ListParagraph"/>
        <w:numPr>
          <w:ilvl w:val="0"/>
          <w:numId w:val="10"/>
        </w:numPr>
        <w:spacing w:after="0" w:line="240" w:lineRule="auto"/>
        <w:rPr>
          <w:rFonts w:ascii="Arial" w:hAnsi="Arial" w:cs="Arial"/>
        </w:rPr>
      </w:pPr>
      <w:r>
        <w:rPr>
          <w:rFonts w:ascii="Arial" w:hAnsi="Arial" w:cs="Arial"/>
        </w:rPr>
        <w:t>T</w:t>
      </w:r>
      <w:r w:rsidRPr="00F73D26">
        <w:rPr>
          <w:rFonts w:ascii="Arial" w:hAnsi="Arial" w:cs="Arial"/>
        </w:rPr>
        <w:t>argets relating to</w:t>
      </w:r>
      <w:r>
        <w:rPr>
          <w:rFonts w:ascii="Arial" w:hAnsi="Arial" w:cs="Arial"/>
        </w:rPr>
        <w:t xml:space="preserve"> reducing</w:t>
      </w:r>
      <w:r w:rsidRPr="00F73D26">
        <w:rPr>
          <w:rFonts w:ascii="Arial" w:hAnsi="Arial" w:cs="Arial"/>
        </w:rPr>
        <w:t xml:space="preserve"> GHG emissions, the use </w:t>
      </w:r>
      <w:r>
        <w:rPr>
          <w:rFonts w:ascii="Arial" w:hAnsi="Arial" w:cs="Arial"/>
        </w:rPr>
        <w:t>of electric vehicles</w:t>
      </w:r>
      <w:r w:rsidRPr="00F73D26">
        <w:rPr>
          <w:rFonts w:ascii="Arial" w:hAnsi="Arial" w:cs="Arial"/>
        </w:rPr>
        <w:t xml:space="preserve">, or </w:t>
      </w:r>
      <w:r>
        <w:rPr>
          <w:rFonts w:ascii="Arial" w:hAnsi="Arial" w:cs="Arial"/>
        </w:rPr>
        <w:t xml:space="preserve">the </w:t>
      </w:r>
      <w:r w:rsidRPr="00F73D26">
        <w:rPr>
          <w:rFonts w:ascii="Arial" w:hAnsi="Arial" w:cs="Arial"/>
        </w:rPr>
        <w:t xml:space="preserve">reduction in single occupancy vehicle travel </w:t>
      </w:r>
      <w:r>
        <w:rPr>
          <w:rFonts w:ascii="Arial" w:hAnsi="Arial" w:cs="Arial"/>
        </w:rPr>
        <w:t>have been removed</w:t>
      </w:r>
      <w:r w:rsidR="002329AD">
        <w:rPr>
          <w:rFonts w:ascii="Arial" w:hAnsi="Arial" w:cs="Arial"/>
        </w:rPr>
        <w:t xml:space="preserve"> although they are included in the (yet to be replaced) New Zealand Transport Strategy 2040</w:t>
      </w:r>
      <w:r>
        <w:rPr>
          <w:rFonts w:ascii="Arial" w:hAnsi="Arial" w:cs="Arial"/>
        </w:rPr>
        <w:t>.</w:t>
      </w:r>
    </w:p>
    <w:p w:rsidR="00086D8E" w:rsidRPr="00F73D26" w:rsidRDefault="00086D8E" w:rsidP="00AD4C25">
      <w:pPr>
        <w:pStyle w:val="ListParagraph"/>
        <w:numPr>
          <w:ilvl w:val="0"/>
          <w:numId w:val="10"/>
        </w:numPr>
        <w:spacing w:after="0" w:line="240" w:lineRule="auto"/>
        <w:rPr>
          <w:rFonts w:ascii="Arial" w:hAnsi="Arial" w:cs="Arial"/>
        </w:rPr>
      </w:pPr>
      <w:r>
        <w:rPr>
          <w:rFonts w:ascii="Arial" w:hAnsi="Arial" w:cs="Arial"/>
        </w:rPr>
        <w:t>Specific mention is made of electrifying Auckland’s passenger rail network.</w:t>
      </w:r>
    </w:p>
    <w:p w:rsidR="00F65C7F" w:rsidRPr="00223C3A" w:rsidRDefault="00AD4C25" w:rsidP="00223C3A">
      <w:pPr>
        <w:pStyle w:val="ListParagraph"/>
        <w:numPr>
          <w:ilvl w:val="0"/>
          <w:numId w:val="9"/>
        </w:numPr>
        <w:spacing w:after="0" w:line="240" w:lineRule="auto"/>
        <w:rPr>
          <w:rFonts w:ascii="Arial" w:hAnsi="Arial" w:cs="Arial"/>
        </w:rPr>
      </w:pPr>
      <w:r>
        <w:rPr>
          <w:rFonts w:ascii="Arial" w:hAnsi="Arial" w:cs="Arial"/>
        </w:rPr>
        <w:t>T</w:t>
      </w:r>
      <w:r w:rsidR="00F65C7F">
        <w:rPr>
          <w:rFonts w:ascii="Arial" w:hAnsi="Arial" w:cs="Arial"/>
        </w:rPr>
        <w:t>he use of different modes of travel is to be encouraged as is the entry of alternative transport fuels and electric vehicles into the NZ market, although the means of doing so are not identified</w:t>
      </w:r>
      <w:r w:rsidR="00086D8E">
        <w:rPr>
          <w:rFonts w:ascii="Arial" w:hAnsi="Arial" w:cs="Arial"/>
        </w:rPr>
        <w:t>.</w:t>
      </w:r>
    </w:p>
    <w:p w:rsidR="00412013" w:rsidRDefault="00412013" w:rsidP="00623274">
      <w:pPr>
        <w:spacing w:after="0" w:line="240" w:lineRule="auto"/>
        <w:rPr>
          <w:rFonts w:ascii="Arial" w:hAnsi="Arial" w:cs="Arial"/>
        </w:rPr>
      </w:pPr>
    </w:p>
    <w:p w:rsidR="00412013" w:rsidRDefault="00412013" w:rsidP="00623274">
      <w:pPr>
        <w:spacing w:after="0" w:line="240" w:lineRule="auto"/>
        <w:rPr>
          <w:rFonts w:ascii="Arial" w:hAnsi="Arial" w:cs="Arial"/>
        </w:rPr>
      </w:pPr>
    </w:p>
    <w:p w:rsidR="00412013" w:rsidRPr="00BE37D2" w:rsidRDefault="00BE37D2" w:rsidP="00623274">
      <w:pPr>
        <w:spacing w:after="0" w:line="240" w:lineRule="auto"/>
        <w:rPr>
          <w:rFonts w:ascii="Arial" w:hAnsi="Arial" w:cs="Arial"/>
          <w:b/>
          <w:sz w:val="24"/>
          <w:szCs w:val="24"/>
        </w:rPr>
      </w:pPr>
      <w:r w:rsidRPr="00BE37D2">
        <w:rPr>
          <w:rFonts w:ascii="Arial" w:hAnsi="Arial" w:cs="Arial"/>
          <w:b/>
          <w:sz w:val="24"/>
          <w:szCs w:val="24"/>
        </w:rPr>
        <w:t>3.4</w:t>
      </w:r>
      <w:r w:rsidRPr="00BE37D2">
        <w:rPr>
          <w:rFonts w:ascii="Arial" w:hAnsi="Arial" w:cs="Arial"/>
          <w:b/>
          <w:sz w:val="24"/>
          <w:szCs w:val="24"/>
        </w:rPr>
        <w:tab/>
      </w:r>
      <w:r w:rsidR="00AB1598" w:rsidRPr="00BE37D2">
        <w:rPr>
          <w:rFonts w:ascii="Arial" w:hAnsi="Arial" w:cs="Arial"/>
          <w:b/>
          <w:sz w:val="24"/>
          <w:szCs w:val="24"/>
        </w:rPr>
        <w:t>Government Policy Statement</w:t>
      </w:r>
      <w:r w:rsidR="00BC51BE" w:rsidRPr="00BE37D2">
        <w:rPr>
          <w:rFonts w:ascii="Arial" w:hAnsi="Arial" w:cs="Arial"/>
          <w:b/>
          <w:sz w:val="24"/>
          <w:szCs w:val="24"/>
        </w:rPr>
        <w:t xml:space="preserve"> on land transport funding</w:t>
      </w:r>
    </w:p>
    <w:p w:rsidR="00AB1598" w:rsidRDefault="00AB1598" w:rsidP="00623274">
      <w:pPr>
        <w:spacing w:after="0" w:line="240" w:lineRule="auto"/>
        <w:rPr>
          <w:rFonts w:ascii="Arial" w:hAnsi="Arial" w:cs="Arial"/>
        </w:rPr>
      </w:pPr>
    </w:p>
    <w:p w:rsidR="00AB1598" w:rsidRDefault="00AB1598" w:rsidP="00623274">
      <w:pPr>
        <w:spacing w:after="0" w:line="240" w:lineRule="auto"/>
        <w:rPr>
          <w:rFonts w:ascii="Arial" w:hAnsi="Arial" w:cs="Arial"/>
        </w:rPr>
      </w:pPr>
      <w:r>
        <w:rPr>
          <w:rFonts w:ascii="Arial" w:hAnsi="Arial" w:cs="Arial"/>
        </w:rPr>
        <w:t>The LTMA 20</w:t>
      </w:r>
      <w:r w:rsidR="00CC15A3">
        <w:rPr>
          <w:rFonts w:ascii="Arial" w:hAnsi="Arial" w:cs="Arial"/>
        </w:rPr>
        <w:t>0</w:t>
      </w:r>
      <w:r>
        <w:rPr>
          <w:rFonts w:ascii="Arial" w:hAnsi="Arial" w:cs="Arial"/>
        </w:rPr>
        <w:t>8 requires the Government to prepare a policy statement on land transport every 3 years. It must take into account any NZES and EE</w:t>
      </w:r>
      <w:r w:rsidR="008046A9">
        <w:rPr>
          <w:rFonts w:ascii="Arial" w:hAnsi="Arial" w:cs="Arial"/>
        </w:rPr>
        <w:t>C</w:t>
      </w:r>
      <w:r>
        <w:rPr>
          <w:rFonts w:ascii="Arial" w:hAnsi="Arial" w:cs="Arial"/>
        </w:rPr>
        <w:t>S. The NZTA must give effect to the G</w:t>
      </w:r>
      <w:r w:rsidR="00133086">
        <w:rPr>
          <w:rFonts w:ascii="Arial" w:hAnsi="Arial" w:cs="Arial"/>
        </w:rPr>
        <w:t xml:space="preserve">overnment </w:t>
      </w:r>
      <w:r>
        <w:rPr>
          <w:rFonts w:ascii="Arial" w:hAnsi="Arial" w:cs="Arial"/>
        </w:rPr>
        <w:t>P</w:t>
      </w:r>
      <w:r w:rsidR="00133086">
        <w:rPr>
          <w:rFonts w:ascii="Arial" w:hAnsi="Arial" w:cs="Arial"/>
        </w:rPr>
        <w:t xml:space="preserve">olicy </w:t>
      </w:r>
      <w:r>
        <w:rPr>
          <w:rFonts w:ascii="Arial" w:hAnsi="Arial" w:cs="Arial"/>
        </w:rPr>
        <w:t>S</w:t>
      </w:r>
      <w:r w:rsidR="00133086">
        <w:rPr>
          <w:rFonts w:ascii="Arial" w:hAnsi="Arial" w:cs="Arial"/>
        </w:rPr>
        <w:t>tatement</w:t>
      </w:r>
      <w:r>
        <w:rPr>
          <w:rFonts w:ascii="Arial" w:hAnsi="Arial" w:cs="Arial"/>
        </w:rPr>
        <w:t xml:space="preserve"> on land transport funding.</w:t>
      </w:r>
    </w:p>
    <w:p w:rsidR="00AB1598" w:rsidRDefault="00AB1598" w:rsidP="00623274">
      <w:pPr>
        <w:spacing w:after="0" w:line="240" w:lineRule="auto"/>
        <w:rPr>
          <w:rFonts w:ascii="Arial" w:hAnsi="Arial" w:cs="Arial"/>
        </w:rPr>
      </w:pPr>
    </w:p>
    <w:p w:rsidR="00AB1598" w:rsidRDefault="00AB1598" w:rsidP="00623274">
      <w:pPr>
        <w:spacing w:after="0" w:line="240" w:lineRule="auto"/>
        <w:rPr>
          <w:rFonts w:ascii="Arial" w:hAnsi="Arial" w:cs="Arial"/>
        </w:rPr>
      </w:pPr>
    </w:p>
    <w:p w:rsidR="00964926" w:rsidRDefault="00AB1598" w:rsidP="00623274">
      <w:pPr>
        <w:spacing w:after="0" w:line="240" w:lineRule="auto"/>
        <w:rPr>
          <w:rFonts w:ascii="Arial" w:hAnsi="Arial" w:cs="Arial"/>
        </w:rPr>
      </w:pPr>
      <w:r>
        <w:rPr>
          <w:rFonts w:ascii="Arial" w:hAnsi="Arial" w:cs="Arial"/>
        </w:rPr>
        <w:t xml:space="preserve">The latest </w:t>
      </w:r>
      <w:r w:rsidR="00133086">
        <w:rPr>
          <w:rFonts w:ascii="Arial" w:hAnsi="Arial" w:cs="Arial"/>
        </w:rPr>
        <w:t>Government Policy Statement (GPS, 2011)</w:t>
      </w:r>
      <w:r>
        <w:rPr>
          <w:rFonts w:ascii="Arial" w:hAnsi="Arial" w:cs="Arial"/>
        </w:rPr>
        <w:t xml:space="preserve"> focuses on economic growth and productivity, value for money and road safety. Particular importance is given to investment in state highways particularly the seven Roads of </w:t>
      </w:r>
      <w:r w:rsidR="00964926">
        <w:rPr>
          <w:rFonts w:ascii="Arial" w:hAnsi="Arial" w:cs="Arial"/>
        </w:rPr>
        <w:t>National Significance (</w:t>
      </w:r>
      <w:proofErr w:type="spellStart"/>
      <w:r w:rsidR="00964926">
        <w:rPr>
          <w:rFonts w:ascii="Arial" w:hAnsi="Arial" w:cs="Arial"/>
        </w:rPr>
        <w:t>RoNS</w:t>
      </w:r>
      <w:proofErr w:type="spellEnd"/>
      <w:r w:rsidR="00964926">
        <w:rPr>
          <w:rFonts w:ascii="Arial" w:hAnsi="Arial" w:cs="Arial"/>
        </w:rPr>
        <w:t>), and to road safety improvements through the Safer Journeys Strategy. Reference is made to the need for reliable and cost effective public transport in main centres, and to investing in walking and cycling to contribute to economic growth.</w:t>
      </w:r>
      <w:r w:rsidR="00F232EB">
        <w:rPr>
          <w:rFonts w:ascii="Arial" w:hAnsi="Arial" w:cs="Arial"/>
        </w:rPr>
        <w:t xml:space="preserve"> </w:t>
      </w:r>
      <w:r w:rsidR="00964926">
        <w:rPr>
          <w:rFonts w:ascii="Arial" w:hAnsi="Arial" w:cs="Arial"/>
        </w:rPr>
        <w:t>The importance of value for money is emphasised</w:t>
      </w:r>
      <w:r w:rsidR="00F232EB">
        <w:rPr>
          <w:rFonts w:ascii="Arial" w:hAnsi="Arial" w:cs="Arial"/>
        </w:rPr>
        <w:t>.</w:t>
      </w:r>
    </w:p>
    <w:p w:rsidR="00397BD3" w:rsidRDefault="00397BD3" w:rsidP="00623274">
      <w:pPr>
        <w:spacing w:after="0" w:line="240" w:lineRule="auto"/>
        <w:rPr>
          <w:rFonts w:ascii="Arial" w:hAnsi="Arial" w:cs="Arial"/>
        </w:rPr>
      </w:pPr>
    </w:p>
    <w:p w:rsidR="00704213" w:rsidRDefault="00704213" w:rsidP="00623274">
      <w:pPr>
        <w:spacing w:after="0" w:line="240" w:lineRule="auto"/>
        <w:rPr>
          <w:rFonts w:ascii="Arial" w:hAnsi="Arial" w:cs="Arial"/>
        </w:rPr>
      </w:pPr>
    </w:p>
    <w:p w:rsidR="00964926" w:rsidRDefault="008046A9" w:rsidP="00623274">
      <w:pPr>
        <w:spacing w:after="0" w:line="240" w:lineRule="auto"/>
        <w:rPr>
          <w:rFonts w:ascii="Arial" w:hAnsi="Arial" w:cs="Arial"/>
        </w:rPr>
      </w:pPr>
      <w:r>
        <w:rPr>
          <w:rFonts w:ascii="Arial" w:hAnsi="Arial" w:cs="Arial"/>
        </w:rPr>
        <w:t>The 2011 GPS on land transport funding states that the NZES and EECS “highlight reliable and more cost effective public transport systems that offer benefits to attract a greater percentage of long-term users”</w:t>
      </w:r>
      <w:r w:rsidR="001B53CA">
        <w:rPr>
          <w:rFonts w:ascii="Arial" w:hAnsi="Arial" w:cs="Arial"/>
        </w:rPr>
        <w:t>, but makes no reference to a greenhouse gas emissions</w:t>
      </w:r>
      <w:r w:rsidR="003B45E9">
        <w:rPr>
          <w:rFonts w:ascii="Arial" w:hAnsi="Arial" w:cs="Arial"/>
        </w:rPr>
        <w:t xml:space="preserve"> target or specific actions to reduce GHG emissions</w:t>
      </w:r>
      <w:r w:rsidR="001B53CA">
        <w:rPr>
          <w:rFonts w:ascii="Arial" w:hAnsi="Arial" w:cs="Arial"/>
        </w:rPr>
        <w:t>.</w:t>
      </w:r>
    </w:p>
    <w:p w:rsidR="00964926" w:rsidRDefault="00964926" w:rsidP="00623274">
      <w:pPr>
        <w:spacing w:after="0" w:line="240" w:lineRule="auto"/>
        <w:rPr>
          <w:rFonts w:ascii="Arial" w:hAnsi="Arial" w:cs="Arial"/>
        </w:rPr>
      </w:pPr>
    </w:p>
    <w:p w:rsidR="00964926" w:rsidRPr="00BE37D2" w:rsidRDefault="00BE37D2" w:rsidP="00623274">
      <w:pPr>
        <w:spacing w:after="0" w:line="240" w:lineRule="auto"/>
        <w:rPr>
          <w:rFonts w:ascii="Arial" w:hAnsi="Arial" w:cs="Arial"/>
          <w:b/>
          <w:sz w:val="24"/>
          <w:szCs w:val="24"/>
        </w:rPr>
      </w:pPr>
      <w:r w:rsidRPr="00BE37D2">
        <w:rPr>
          <w:rFonts w:ascii="Arial" w:hAnsi="Arial" w:cs="Arial"/>
          <w:b/>
          <w:sz w:val="24"/>
          <w:szCs w:val="24"/>
        </w:rPr>
        <w:t>3.5</w:t>
      </w:r>
      <w:r w:rsidRPr="00BE37D2">
        <w:rPr>
          <w:rFonts w:ascii="Arial" w:hAnsi="Arial" w:cs="Arial"/>
          <w:b/>
          <w:sz w:val="24"/>
          <w:szCs w:val="24"/>
        </w:rPr>
        <w:tab/>
      </w:r>
      <w:r w:rsidR="00F232EB" w:rsidRPr="00BE37D2">
        <w:rPr>
          <w:rFonts w:ascii="Arial" w:hAnsi="Arial" w:cs="Arial"/>
          <w:b/>
          <w:sz w:val="24"/>
          <w:szCs w:val="24"/>
        </w:rPr>
        <w:t>Comment</w:t>
      </w:r>
      <w:r w:rsidR="001129A6" w:rsidRPr="00BE37D2">
        <w:rPr>
          <w:rFonts w:ascii="Arial" w:hAnsi="Arial" w:cs="Arial"/>
          <w:b/>
          <w:sz w:val="24"/>
          <w:szCs w:val="24"/>
        </w:rPr>
        <w:t xml:space="preserve"> </w:t>
      </w:r>
    </w:p>
    <w:p w:rsidR="00F232EB" w:rsidRDefault="00F232EB" w:rsidP="00623274">
      <w:pPr>
        <w:spacing w:after="0" w:line="240" w:lineRule="auto"/>
        <w:rPr>
          <w:rFonts w:ascii="Arial" w:hAnsi="Arial" w:cs="Arial"/>
        </w:rPr>
      </w:pPr>
    </w:p>
    <w:p w:rsidR="00E9321A" w:rsidRDefault="00E9321A" w:rsidP="007E1746">
      <w:pPr>
        <w:spacing w:after="220" w:line="240" w:lineRule="auto"/>
        <w:rPr>
          <w:rFonts w:ascii="Arial" w:hAnsi="Arial" w:cs="Arial"/>
        </w:rPr>
      </w:pPr>
      <w:r>
        <w:rPr>
          <w:rFonts w:ascii="Arial" w:hAnsi="Arial" w:cs="Arial"/>
        </w:rPr>
        <w:t>Earlier efforts to deal with climate change and transport energy were well intentioned but relied on setting targets which typically had timeframes which were far too short. Unachievable targets are worse than useless as they raise expectations, but in practice are largely ignored.</w:t>
      </w:r>
    </w:p>
    <w:p w:rsidR="00E9321A" w:rsidRDefault="00E9321A" w:rsidP="007E1746">
      <w:pPr>
        <w:spacing w:after="220" w:line="240" w:lineRule="auto"/>
        <w:rPr>
          <w:rFonts w:ascii="Arial" w:hAnsi="Arial" w:cs="Arial"/>
        </w:rPr>
      </w:pPr>
    </w:p>
    <w:p w:rsidR="00234B59" w:rsidRDefault="00F232EB" w:rsidP="007E1746">
      <w:pPr>
        <w:spacing w:after="220" w:line="240" w:lineRule="auto"/>
        <w:rPr>
          <w:rFonts w:ascii="Arial" w:hAnsi="Arial" w:cs="Arial"/>
        </w:rPr>
      </w:pPr>
      <w:r>
        <w:rPr>
          <w:rFonts w:ascii="Arial" w:hAnsi="Arial" w:cs="Arial"/>
        </w:rPr>
        <w:t xml:space="preserve">The current focus on economic growth and efficiency reflects a preoccupation with </w:t>
      </w:r>
      <w:r w:rsidR="00E9321A">
        <w:rPr>
          <w:rFonts w:ascii="Arial" w:hAnsi="Arial" w:cs="Arial"/>
        </w:rPr>
        <w:t>short term</w:t>
      </w:r>
      <w:r>
        <w:rPr>
          <w:rFonts w:ascii="Arial" w:hAnsi="Arial" w:cs="Arial"/>
        </w:rPr>
        <w:t xml:space="preserve"> issues. </w:t>
      </w:r>
      <w:r w:rsidR="00CA1724">
        <w:rPr>
          <w:rFonts w:ascii="Arial" w:hAnsi="Arial" w:cs="Arial"/>
        </w:rPr>
        <w:t>Risks associated with l</w:t>
      </w:r>
      <w:r>
        <w:rPr>
          <w:rFonts w:ascii="Arial" w:hAnsi="Arial" w:cs="Arial"/>
        </w:rPr>
        <w:t xml:space="preserve">onger term strategic </w:t>
      </w:r>
      <w:r w:rsidR="00CA1724">
        <w:rPr>
          <w:rFonts w:ascii="Arial" w:hAnsi="Arial" w:cs="Arial"/>
        </w:rPr>
        <w:t>issues</w:t>
      </w:r>
      <w:r>
        <w:rPr>
          <w:rFonts w:ascii="Arial" w:hAnsi="Arial" w:cs="Arial"/>
        </w:rPr>
        <w:t xml:space="preserve"> such as climate change</w:t>
      </w:r>
      <w:r w:rsidR="00CA1724">
        <w:rPr>
          <w:rFonts w:ascii="Arial" w:hAnsi="Arial" w:cs="Arial"/>
        </w:rPr>
        <w:t xml:space="preserve"> </w:t>
      </w:r>
      <w:r>
        <w:rPr>
          <w:rFonts w:ascii="Arial" w:hAnsi="Arial" w:cs="Arial"/>
        </w:rPr>
        <w:t>have been downplayed</w:t>
      </w:r>
      <w:r w:rsidR="00E9321A">
        <w:rPr>
          <w:rFonts w:ascii="Arial" w:hAnsi="Arial" w:cs="Arial"/>
        </w:rPr>
        <w:t xml:space="preserve"> or ignored</w:t>
      </w:r>
      <w:r w:rsidR="00CA1724">
        <w:rPr>
          <w:rFonts w:ascii="Arial" w:hAnsi="Arial" w:cs="Arial"/>
        </w:rPr>
        <w:t>. Energy security has been recognised as an issue, but the response has largely been</w:t>
      </w:r>
      <w:r w:rsidR="003E472B">
        <w:rPr>
          <w:rFonts w:ascii="Arial" w:hAnsi="Arial" w:cs="Arial"/>
        </w:rPr>
        <w:t xml:space="preserve"> limited</w:t>
      </w:r>
      <w:r w:rsidR="00CA1724">
        <w:rPr>
          <w:rFonts w:ascii="Arial" w:hAnsi="Arial" w:cs="Arial"/>
        </w:rPr>
        <w:t xml:space="preserve"> to encourag</w:t>
      </w:r>
      <w:r w:rsidR="003E472B">
        <w:rPr>
          <w:rFonts w:ascii="Arial" w:hAnsi="Arial" w:cs="Arial"/>
        </w:rPr>
        <w:t>ing and facilitating</w:t>
      </w:r>
      <w:r w:rsidR="00CA1724">
        <w:rPr>
          <w:rFonts w:ascii="Arial" w:hAnsi="Arial" w:cs="Arial"/>
        </w:rPr>
        <w:t xml:space="preserve"> off-shore oil exploration.</w:t>
      </w:r>
      <w:r w:rsidR="00E9321A">
        <w:rPr>
          <w:rFonts w:ascii="Arial" w:hAnsi="Arial" w:cs="Arial"/>
        </w:rPr>
        <w:t xml:space="preserve"> Targets have been removed or rendered less effective through conditional statements. National energy and transport policies are often phrased in a manner allowing wide interpretation.</w:t>
      </w:r>
      <w:r w:rsidR="007E1746">
        <w:rPr>
          <w:rFonts w:ascii="Arial" w:hAnsi="Arial" w:cs="Arial"/>
        </w:rPr>
        <w:t xml:space="preserve"> </w:t>
      </w:r>
    </w:p>
    <w:p w:rsidR="00234B59" w:rsidRDefault="00234B59" w:rsidP="007E1746">
      <w:pPr>
        <w:spacing w:after="220" w:line="240" w:lineRule="auto"/>
        <w:rPr>
          <w:rFonts w:ascii="Arial" w:hAnsi="Arial" w:cs="Arial"/>
        </w:rPr>
      </w:pPr>
    </w:p>
    <w:p w:rsidR="00397BD3" w:rsidRPr="00CA75F8" w:rsidRDefault="00234B59" w:rsidP="007E1746">
      <w:pPr>
        <w:spacing w:after="220" w:line="240" w:lineRule="auto"/>
        <w:rPr>
          <w:rFonts w:ascii="Arial" w:hAnsi="Arial" w:cs="Arial"/>
        </w:rPr>
      </w:pPr>
      <w:r w:rsidRPr="00CA75F8">
        <w:rPr>
          <w:rFonts w:ascii="Arial" w:hAnsi="Arial" w:cs="Arial"/>
        </w:rPr>
        <w:t>What is required is a set of stretch, but achievable long term and interim targets accompanied by measures aimed at achieving the targets. There should be regular monitoring of progress accompanied by interventions where required. Clear strategic objectives need to be set and stuck to unless evidence indicates the need for change.</w:t>
      </w:r>
      <w:r w:rsidR="00397BD3" w:rsidRPr="00CA75F8">
        <w:rPr>
          <w:rFonts w:ascii="Arial" w:hAnsi="Arial" w:cs="Arial"/>
        </w:rPr>
        <w:t xml:space="preserve"> </w:t>
      </w:r>
    </w:p>
    <w:p w:rsidR="00397BD3" w:rsidRPr="00CA75F8" w:rsidRDefault="00397BD3" w:rsidP="007E1746">
      <w:pPr>
        <w:spacing w:after="220" w:line="240" w:lineRule="auto"/>
        <w:rPr>
          <w:rFonts w:ascii="Arial" w:hAnsi="Arial" w:cs="Arial"/>
        </w:rPr>
      </w:pPr>
    </w:p>
    <w:p w:rsidR="00234B59" w:rsidRPr="00CA75F8" w:rsidRDefault="00397BD3" w:rsidP="007E1746">
      <w:pPr>
        <w:spacing w:after="220" w:line="240" w:lineRule="auto"/>
        <w:rPr>
          <w:rFonts w:ascii="Arial" w:hAnsi="Arial" w:cs="Arial"/>
        </w:rPr>
      </w:pPr>
      <w:r w:rsidRPr="00CA75F8">
        <w:rPr>
          <w:rFonts w:ascii="Arial" w:hAnsi="Arial" w:cs="Arial"/>
        </w:rPr>
        <w:t>Energy and t</w:t>
      </w:r>
      <w:r w:rsidR="00234B59" w:rsidRPr="00CA75F8">
        <w:rPr>
          <w:rFonts w:ascii="Arial" w:hAnsi="Arial" w:cs="Arial"/>
        </w:rPr>
        <w:t xml:space="preserve">ransport policies (including pricing) should be </w:t>
      </w:r>
      <w:r w:rsidRPr="00CA75F8">
        <w:rPr>
          <w:rFonts w:ascii="Arial" w:hAnsi="Arial" w:cs="Arial"/>
        </w:rPr>
        <w:t xml:space="preserve">derived from </w:t>
      </w:r>
      <w:r w:rsidR="00234B59" w:rsidRPr="00CA75F8">
        <w:rPr>
          <w:rFonts w:ascii="Arial" w:hAnsi="Arial" w:cs="Arial"/>
        </w:rPr>
        <w:t>fact-based analysis to</w:t>
      </w:r>
      <w:r w:rsidRPr="00CA75F8">
        <w:rPr>
          <w:rFonts w:ascii="Arial" w:hAnsi="Arial" w:cs="Arial"/>
        </w:rPr>
        <w:t xml:space="preserve"> help</w:t>
      </w:r>
      <w:r w:rsidR="00234B59" w:rsidRPr="00CA75F8">
        <w:rPr>
          <w:rFonts w:ascii="Arial" w:hAnsi="Arial" w:cs="Arial"/>
        </w:rPr>
        <w:t xml:space="preserve"> ensure a much more consistent approach over time and </w:t>
      </w:r>
      <w:r w:rsidRPr="00CA75F8">
        <w:rPr>
          <w:rFonts w:ascii="Arial" w:hAnsi="Arial" w:cs="Arial"/>
        </w:rPr>
        <w:t>to reduce</w:t>
      </w:r>
      <w:r w:rsidR="00234B59" w:rsidRPr="00CA75F8">
        <w:rPr>
          <w:rFonts w:ascii="Arial" w:hAnsi="Arial" w:cs="Arial"/>
        </w:rPr>
        <w:t xml:space="preserve"> the risk of changes in direction based on supposition or dogma.  </w:t>
      </w:r>
    </w:p>
    <w:p w:rsidR="00234B59" w:rsidRDefault="00234B59" w:rsidP="007E1746">
      <w:pPr>
        <w:spacing w:after="220" w:line="240" w:lineRule="auto"/>
        <w:rPr>
          <w:rFonts w:ascii="Arial" w:hAnsi="Arial" w:cs="Arial"/>
        </w:rPr>
      </w:pPr>
    </w:p>
    <w:p w:rsidR="00234B59" w:rsidRDefault="007E1746" w:rsidP="00234B59">
      <w:pPr>
        <w:spacing w:line="240" w:lineRule="auto"/>
        <w:rPr>
          <w:rFonts w:ascii="Arial" w:hAnsi="Arial" w:cs="Arial"/>
        </w:rPr>
      </w:pPr>
      <w:r w:rsidRPr="007E1746">
        <w:rPr>
          <w:rFonts w:ascii="Arial" w:hAnsi="Arial" w:cs="Arial"/>
        </w:rPr>
        <w:t>Our emissions trading scheme is our main policy tool to reduce emissions, but it has so far been completely ineffective due to the very low cost of New Zealand Units and the exemption of pastoral agriculture from the scheme</w:t>
      </w:r>
      <w:r w:rsidRPr="00CA75F8">
        <w:rPr>
          <w:rFonts w:ascii="Arial" w:hAnsi="Arial" w:cs="Arial"/>
        </w:rPr>
        <w:t>.</w:t>
      </w:r>
      <w:r w:rsidR="00234B59" w:rsidRPr="00CA75F8">
        <w:rPr>
          <w:rFonts w:ascii="Arial" w:hAnsi="Arial" w:cs="Arial"/>
        </w:rPr>
        <w:t xml:space="preserve"> Putting an appropriate price on carbon would enable economic signals to reduce emissions.</w:t>
      </w:r>
      <w:r w:rsidR="00234B59">
        <w:rPr>
          <w:rFonts w:ascii="Arial" w:hAnsi="Arial" w:cs="Arial"/>
        </w:rPr>
        <w:t xml:space="preserve"> This may be possible under a revised Emissions Trading Scheme with a much higher charge for New Zealand Units, or it may require moving to a carbon tax levied on all fossil fuels when recovered from the ground or on entry to New Zealand. </w:t>
      </w:r>
    </w:p>
    <w:p w:rsidR="00F232EB" w:rsidRPr="005E1D44" w:rsidRDefault="00F232EB" w:rsidP="00397BD3">
      <w:pPr>
        <w:pStyle w:val="NoSpacing"/>
      </w:pPr>
    </w:p>
    <w:p w:rsidR="00724D34" w:rsidRDefault="00724D34" w:rsidP="00623274">
      <w:pPr>
        <w:spacing w:after="0" w:line="240" w:lineRule="auto"/>
        <w:rPr>
          <w:rFonts w:ascii="Arial" w:hAnsi="Arial" w:cs="Arial"/>
        </w:rPr>
      </w:pPr>
    </w:p>
    <w:p w:rsidR="007E1746" w:rsidRPr="00BE37D2" w:rsidRDefault="00BE37D2" w:rsidP="00623274">
      <w:pPr>
        <w:spacing w:after="0" w:line="240" w:lineRule="auto"/>
        <w:rPr>
          <w:rFonts w:ascii="Arial" w:hAnsi="Arial" w:cs="Arial"/>
          <w:b/>
          <w:sz w:val="28"/>
          <w:szCs w:val="28"/>
        </w:rPr>
      </w:pPr>
      <w:r w:rsidRPr="00BE37D2">
        <w:rPr>
          <w:rFonts w:ascii="Arial" w:hAnsi="Arial" w:cs="Arial"/>
          <w:b/>
          <w:sz w:val="28"/>
          <w:szCs w:val="28"/>
        </w:rPr>
        <w:t>4.</w:t>
      </w:r>
      <w:r w:rsidRPr="00BE37D2">
        <w:rPr>
          <w:rFonts w:ascii="Arial" w:hAnsi="Arial" w:cs="Arial"/>
          <w:b/>
          <w:sz w:val="28"/>
          <w:szCs w:val="28"/>
        </w:rPr>
        <w:tab/>
      </w:r>
      <w:r w:rsidR="00882B1F" w:rsidRPr="00BE37D2">
        <w:rPr>
          <w:rFonts w:ascii="Arial" w:hAnsi="Arial" w:cs="Arial"/>
          <w:b/>
          <w:sz w:val="28"/>
          <w:szCs w:val="28"/>
        </w:rPr>
        <w:t>SPECIFIC ACTIONS</w:t>
      </w:r>
      <w:r w:rsidR="005E1D44" w:rsidRPr="00BE37D2">
        <w:rPr>
          <w:rFonts w:ascii="Arial" w:hAnsi="Arial" w:cs="Arial"/>
          <w:b/>
          <w:sz w:val="28"/>
          <w:szCs w:val="28"/>
        </w:rPr>
        <w:t xml:space="preserve"> TO REDUCE GHG EMISSIONS AND IMPROVE ENERGY SECURITY</w:t>
      </w:r>
    </w:p>
    <w:p w:rsidR="00882B1F" w:rsidRDefault="00882B1F" w:rsidP="00623274">
      <w:pPr>
        <w:spacing w:after="0" w:line="240" w:lineRule="auto"/>
        <w:rPr>
          <w:rFonts w:ascii="Arial" w:hAnsi="Arial" w:cs="Arial"/>
        </w:rPr>
      </w:pPr>
    </w:p>
    <w:p w:rsidR="00882B1F" w:rsidRPr="00003AE3" w:rsidRDefault="00BE37D2" w:rsidP="00623274">
      <w:pPr>
        <w:spacing w:after="0" w:line="240" w:lineRule="auto"/>
        <w:rPr>
          <w:rFonts w:ascii="Arial" w:hAnsi="Arial" w:cs="Arial"/>
          <w:b/>
          <w:sz w:val="24"/>
          <w:szCs w:val="24"/>
        </w:rPr>
      </w:pPr>
      <w:r>
        <w:rPr>
          <w:rFonts w:ascii="Arial" w:hAnsi="Arial" w:cs="Arial"/>
          <w:b/>
          <w:sz w:val="24"/>
          <w:szCs w:val="24"/>
        </w:rPr>
        <w:t>4.1</w:t>
      </w:r>
      <w:r>
        <w:rPr>
          <w:rFonts w:ascii="Arial" w:hAnsi="Arial" w:cs="Arial"/>
          <w:b/>
          <w:sz w:val="24"/>
          <w:szCs w:val="24"/>
        </w:rPr>
        <w:tab/>
      </w:r>
      <w:r w:rsidR="00882B1F" w:rsidRPr="00003AE3">
        <w:rPr>
          <w:rFonts w:ascii="Arial" w:hAnsi="Arial" w:cs="Arial"/>
          <w:b/>
          <w:sz w:val="24"/>
          <w:szCs w:val="24"/>
        </w:rPr>
        <w:t>Transport Fuels</w:t>
      </w:r>
    </w:p>
    <w:p w:rsidR="00882B1F" w:rsidRDefault="00882B1F" w:rsidP="00623274">
      <w:pPr>
        <w:spacing w:after="0" w:line="240" w:lineRule="auto"/>
        <w:rPr>
          <w:rFonts w:ascii="Arial" w:hAnsi="Arial" w:cs="Arial"/>
        </w:rPr>
      </w:pPr>
    </w:p>
    <w:p w:rsidR="005E1D44" w:rsidRPr="005E1D44" w:rsidRDefault="005E1D44" w:rsidP="00D12073">
      <w:pPr>
        <w:spacing w:line="240" w:lineRule="auto"/>
        <w:rPr>
          <w:rFonts w:ascii="Arial" w:hAnsi="Arial" w:cs="Arial"/>
          <w:b/>
          <w:i/>
        </w:rPr>
      </w:pPr>
      <w:r w:rsidRPr="005E1D44">
        <w:rPr>
          <w:rFonts w:ascii="Arial" w:hAnsi="Arial" w:cs="Arial"/>
          <w:b/>
          <w:i/>
        </w:rPr>
        <w:t>Natural gas</w:t>
      </w:r>
    </w:p>
    <w:p w:rsidR="003B45E9" w:rsidRDefault="00E9429D" w:rsidP="00BA6C9D">
      <w:pPr>
        <w:spacing w:line="240" w:lineRule="auto"/>
        <w:rPr>
          <w:rFonts w:ascii="Arial" w:hAnsi="Arial" w:cs="Arial"/>
        </w:rPr>
      </w:pPr>
      <w:r>
        <w:rPr>
          <w:rFonts w:ascii="Arial" w:hAnsi="Arial" w:cs="Arial"/>
        </w:rPr>
        <w:t xml:space="preserve">Natural gas is becoming much more widely available through activities such as </w:t>
      </w:r>
      <w:proofErr w:type="spellStart"/>
      <w:r>
        <w:rPr>
          <w:rFonts w:ascii="Arial" w:hAnsi="Arial" w:cs="Arial"/>
        </w:rPr>
        <w:t>fracking</w:t>
      </w:r>
      <w:proofErr w:type="spellEnd"/>
      <w:r>
        <w:rPr>
          <w:rFonts w:ascii="Arial" w:hAnsi="Arial" w:cs="Arial"/>
        </w:rPr>
        <w:t xml:space="preserve"> in the US and</w:t>
      </w:r>
      <w:r w:rsidR="00CE3B9C">
        <w:rPr>
          <w:rFonts w:ascii="Arial" w:hAnsi="Arial" w:cs="Arial"/>
        </w:rPr>
        <w:t xml:space="preserve"> through drilling in Australia. </w:t>
      </w:r>
      <w:r w:rsidRPr="00E9429D">
        <w:rPr>
          <w:rFonts w:ascii="Arial" w:hAnsi="Arial" w:cs="Arial"/>
        </w:rPr>
        <w:t xml:space="preserve">Natural gas emits approximately 6-11% lower levels of </w:t>
      </w:r>
      <w:r>
        <w:rPr>
          <w:rFonts w:ascii="Arial" w:hAnsi="Arial" w:cs="Arial"/>
        </w:rPr>
        <w:t>greenhouse gas</w:t>
      </w:r>
      <w:r w:rsidRPr="00E9429D">
        <w:rPr>
          <w:rFonts w:ascii="Arial" w:hAnsi="Arial" w:cs="Arial"/>
        </w:rPr>
        <w:t xml:space="preserve"> emissions than petroleum throughout the fuel life cycle</w:t>
      </w:r>
      <w:r>
        <w:rPr>
          <w:rFonts w:ascii="Arial" w:hAnsi="Arial" w:cs="Arial"/>
        </w:rPr>
        <w:t xml:space="preserve"> (“well to wheel”)</w:t>
      </w:r>
      <w:r w:rsidR="00133086">
        <w:rPr>
          <w:rFonts w:ascii="Arial" w:hAnsi="Arial" w:cs="Arial"/>
        </w:rPr>
        <w:t xml:space="preserve"> (DOE, 2013)</w:t>
      </w:r>
      <w:r>
        <w:rPr>
          <w:rFonts w:ascii="Arial" w:hAnsi="Arial" w:cs="Arial"/>
        </w:rPr>
        <w:t>.</w:t>
      </w:r>
      <w:r w:rsidRPr="00E9429D">
        <w:t xml:space="preserve"> </w:t>
      </w:r>
      <w:r w:rsidRPr="00E9429D">
        <w:rPr>
          <w:rFonts w:ascii="Arial" w:hAnsi="Arial" w:cs="Arial"/>
        </w:rPr>
        <w:t>Natural gas vehicles</w:t>
      </w:r>
      <w:r w:rsidR="00C45B18">
        <w:rPr>
          <w:rFonts w:ascii="Arial" w:hAnsi="Arial" w:cs="Arial"/>
        </w:rPr>
        <w:t xml:space="preserve"> use</w:t>
      </w:r>
      <w:r w:rsidRPr="00E9429D">
        <w:rPr>
          <w:rFonts w:ascii="Arial" w:hAnsi="Arial" w:cs="Arial"/>
        </w:rPr>
        <w:t xml:space="preserve"> </w:t>
      </w:r>
      <w:r w:rsidR="00C45B18" w:rsidRPr="00C45B18">
        <w:rPr>
          <w:rFonts w:ascii="Arial" w:hAnsi="Arial" w:cs="Arial"/>
        </w:rPr>
        <w:t>compressed natural gas (CNG) or liquefied natural gas (LNG)</w:t>
      </w:r>
      <w:r w:rsidR="00C45B18">
        <w:rPr>
          <w:rFonts w:ascii="Arial" w:hAnsi="Arial" w:cs="Arial"/>
        </w:rPr>
        <w:t xml:space="preserve">. They </w:t>
      </w:r>
      <w:r w:rsidRPr="00E9429D">
        <w:rPr>
          <w:rFonts w:ascii="Arial" w:hAnsi="Arial" w:cs="Arial"/>
        </w:rPr>
        <w:t xml:space="preserve">are similar to gasoline or diesel vehicles with regard to power, acceleration and cruising speed. However, the driving range is generally less because less energy content can be stored in the same size tank. </w:t>
      </w:r>
    </w:p>
    <w:p w:rsidR="003B45E9" w:rsidRDefault="003B45E9" w:rsidP="00BA6C9D">
      <w:pPr>
        <w:spacing w:line="240" w:lineRule="auto"/>
        <w:rPr>
          <w:rFonts w:ascii="Arial" w:hAnsi="Arial" w:cs="Arial"/>
        </w:rPr>
      </w:pPr>
    </w:p>
    <w:p w:rsidR="00CE3B9C" w:rsidRDefault="004430DB" w:rsidP="00BA6C9D">
      <w:pPr>
        <w:spacing w:line="240" w:lineRule="auto"/>
        <w:rPr>
          <w:rFonts w:ascii="Arial" w:hAnsi="Arial" w:cs="Arial"/>
        </w:rPr>
      </w:pPr>
      <w:r w:rsidRPr="004430DB">
        <w:rPr>
          <w:rFonts w:ascii="Arial" w:hAnsi="Arial" w:cs="Arial"/>
        </w:rPr>
        <w:t xml:space="preserve">Renewable Natural Gas, also known as biogas, refers to natural gas from unconventional sources where biological processes produce </w:t>
      </w:r>
      <w:proofErr w:type="spellStart"/>
      <w:r w:rsidRPr="004430DB">
        <w:rPr>
          <w:rFonts w:ascii="Arial" w:hAnsi="Arial" w:cs="Arial"/>
        </w:rPr>
        <w:t>biomethane</w:t>
      </w:r>
      <w:proofErr w:type="spellEnd"/>
      <w:r w:rsidRPr="004430DB">
        <w:rPr>
          <w:rFonts w:ascii="Arial" w:hAnsi="Arial" w:cs="Arial"/>
        </w:rPr>
        <w:t xml:space="preserve"> from organic matter. Because it is chemically identical to fossil natural gas, yet</w:t>
      </w:r>
      <w:r w:rsidR="00BA2411">
        <w:rPr>
          <w:rFonts w:ascii="Arial" w:hAnsi="Arial" w:cs="Arial"/>
        </w:rPr>
        <w:t xml:space="preserve"> </w:t>
      </w:r>
      <w:r w:rsidRPr="004430DB">
        <w:rPr>
          <w:rFonts w:ascii="Arial" w:hAnsi="Arial" w:cs="Arial"/>
        </w:rPr>
        <w:t xml:space="preserve">produces far fewer GHG emissions, the blending of relatively small quantities of </w:t>
      </w:r>
      <w:r>
        <w:rPr>
          <w:rFonts w:ascii="Arial" w:hAnsi="Arial" w:cs="Arial"/>
        </w:rPr>
        <w:t>renewable natural gas</w:t>
      </w:r>
      <w:r w:rsidRPr="004430DB">
        <w:rPr>
          <w:rFonts w:ascii="Arial" w:hAnsi="Arial" w:cs="Arial"/>
        </w:rPr>
        <w:t xml:space="preserve"> with fossil natural gas can provide significant life cycle GHG benefits</w:t>
      </w:r>
      <w:r w:rsidR="00BA2411">
        <w:rPr>
          <w:rFonts w:ascii="Arial" w:hAnsi="Arial" w:cs="Arial"/>
        </w:rPr>
        <w:t xml:space="preserve"> (DOE, 2013)</w:t>
      </w:r>
      <w:r w:rsidRPr="004430DB">
        <w:rPr>
          <w:rFonts w:ascii="Arial" w:hAnsi="Arial" w:cs="Arial"/>
        </w:rPr>
        <w:t>.</w:t>
      </w:r>
      <w:r w:rsidRPr="004430DB">
        <w:t xml:space="preserve"> </w:t>
      </w:r>
      <w:r w:rsidRPr="004430DB">
        <w:rPr>
          <w:rFonts w:ascii="Arial" w:hAnsi="Arial" w:cs="Arial"/>
        </w:rPr>
        <w:t xml:space="preserve">Blends of 20% RNG and 80% fossil NG </w:t>
      </w:r>
      <w:r w:rsidR="00BA2411">
        <w:rPr>
          <w:rFonts w:ascii="Arial" w:hAnsi="Arial" w:cs="Arial"/>
        </w:rPr>
        <w:t>have been</w:t>
      </w:r>
      <w:r w:rsidRPr="004430DB">
        <w:rPr>
          <w:rFonts w:ascii="Arial" w:hAnsi="Arial" w:cs="Arial"/>
        </w:rPr>
        <w:t xml:space="preserve"> found to yield reductions of GHG emissions by 30% or more.</w:t>
      </w:r>
      <w:r w:rsidR="00D64D43">
        <w:rPr>
          <w:rFonts w:ascii="Arial" w:hAnsi="Arial" w:cs="Arial"/>
        </w:rPr>
        <w:t xml:space="preserve"> </w:t>
      </w:r>
    </w:p>
    <w:p w:rsidR="00CE3B9C" w:rsidRDefault="00CE3B9C" w:rsidP="00BA6C9D">
      <w:pPr>
        <w:spacing w:line="240" w:lineRule="auto"/>
        <w:rPr>
          <w:rFonts w:ascii="Arial" w:hAnsi="Arial" w:cs="Arial"/>
        </w:rPr>
      </w:pPr>
    </w:p>
    <w:p w:rsidR="00EB158D" w:rsidRDefault="00C45B18" w:rsidP="00BA6C9D">
      <w:pPr>
        <w:spacing w:line="240" w:lineRule="auto"/>
        <w:rPr>
          <w:rFonts w:ascii="Arial" w:hAnsi="Arial" w:cs="Arial"/>
        </w:rPr>
      </w:pPr>
      <w:r w:rsidRPr="00C45B18">
        <w:rPr>
          <w:rFonts w:ascii="Arial" w:hAnsi="Arial" w:cs="Arial"/>
        </w:rPr>
        <w:t xml:space="preserve">As with other alternative fuels, the use of </w:t>
      </w:r>
      <w:r>
        <w:rPr>
          <w:rFonts w:ascii="Arial" w:hAnsi="Arial" w:cs="Arial"/>
        </w:rPr>
        <w:t>natural gas</w:t>
      </w:r>
      <w:r w:rsidRPr="00C45B18">
        <w:rPr>
          <w:rFonts w:ascii="Arial" w:hAnsi="Arial" w:cs="Arial"/>
        </w:rPr>
        <w:t xml:space="preserve"> requires the development of fuel storage and infrastructure available at fue</w:t>
      </w:r>
      <w:r>
        <w:rPr>
          <w:rFonts w:ascii="Arial" w:hAnsi="Arial" w:cs="Arial"/>
        </w:rPr>
        <w:t>l</w:t>
      </w:r>
      <w:r w:rsidRPr="00C45B18">
        <w:rPr>
          <w:rFonts w:ascii="Arial" w:hAnsi="Arial" w:cs="Arial"/>
        </w:rPr>
        <w:t>ling stations</w:t>
      </w:r>
      <w:r w:rsidR="00382AA8">
        <w:rPr>
          <w:rFonts w:ascii="Arial" w:hAnsi="Arial" w:cs="Arial"/>
        </w:rPr>
        <w:t>.</w:t>
      </w:r>
      <w:r w:rsidR="00EB158D" w:rsidRPr="00EB158D">
        <w:rPr>
          <w:rFonts w:ascii="Arial" w:hAnsi="Arial" w:cs="Arial"/>
        </w:rPr>
        <w:t xml:space="preserve"> LNG can be an attractive and efficient option for vehicles running high annual mileages, particularly for high fuel use fleet applications</w:t>
      </w:r>
      <w:r w:rsidR="00EB158D" w:rsidRPr="00513EAA">
        <w:rPr>
          <w:rFonts w:ascii="Arial" w:hAnsi="Arial" w:cs="Arial"/>
        </w:rPr>
        <w:t>.</w:t>
      </w:r>
      <w:r w:rsidR="00D64D43">
        <w:rPr>
          <w:rFonts w:ascii="Arial" w:hAnsi="Arial" w:cs="Arial"/>
        </w:rPr>
        <w:t xml:space="preserve"> </w:t>
      </w:r>
      <w:r w:rsidR="00EB158D">
        <w:rPr>
          <w:rFonts w:ascii="Arial" w:hAnsi="Arial" w:cs="Arial"/>
        </w:rPr>
        <w:t xml:space="preserve">CNG </w:t>
      </w:r>
      <w:r w:rsidR="00EB158D" w:rsidRPr="009460F0">
        <w:rPr>
          <w:rFonts w:ascii="Arial" w:hAnsi="Arial" w:cs="Arial"/>
        </w:rPr>
        <w:t>may</w:t>
      </w:r>
      <w:r w:rsidR="00EB158D">
        <w:rPr>
          <w:rFonts w:ascii="Arial" w:hAnsi="Arial" w:cs="Arial"/>
        </w:rPr>
        <w:t xml:space="preserve"> not </w:t>
      </w:r>
      <w:proofErr w:type="gramStart"/>
      <w:r w:rsidR="00EB158D">
        <w:rPr>
          <w:rFonts w:ascii="Arial" w:hAnsi="Arial" w:cs="Arial"/>
        </w:rPr>
        <w:t>seen</w:t>
      </w:r>
      <w:proofErr w:type="gramEnd"/>
      <w:r w:rsidR="00EB158D">
        <w:rPr>
          <w:rFonts w:ascii="Arial" w:hAnsi="Arial" w:cs="Arial"/>
        </w:rPr>
        <w:t xml:space="preserve"> as an attractive option even for cars with very high annual mileages, because of the perceived loss of engine power and the loss of luggage space (caused by the fuel tank in the boot). </w:t>
      </w:r>
      <w:r w:rsidR="00EB158D" w:rsidRPr="009460F0">
        <w:rPr>
          <w:rFonts w:ascii="Arial" w:hAnsi="Arial" w:cs="Arial"/>
        </w:rPr>
        <w:t>However, New Zealand has previous experience in the use of natural gas as a transport fuel and this would assist in its adoption. A</w:t>
      </w:r>
      <w:r w:rsidR="00807A39" w:rsidRPr="009460F0">
        <w:rPr>
          <w:rFonts w:ascii="Arial" w:hAnsi="Arial" w:cs="Arial"/>
        </w:rPr>
        <w:t xml:space="preserve">t one stage following the 1970s oil crisis about 10% of New Zealand cars (about 110,000 vehicles) were converted to CNG use, </w:t>
      </w:r>
      <w:r w:rsidR="00EB158D" w:rsidRPr="009460F0">
        <w:rPr>
          <w:rFonts w:ascii="Arial" w:hAnsi="Arial" w:cs="Arial"/>
        </w:rPr>
        <w:t>although</w:t>
      </w:r>
      <w:r w:rsidR="00807A39" w:rsidRPr="009460F0">
        <w:rPr>
          <w:rFonts w:ascii="Arial" w:hAnsi="Arial" w:cs="Arial"/>
        </w:rPr>
        <w:t xml:space="preserve"> this fell away after petrol prices fell. CNG buses currently operate in Brisbane</w:t>
      </w:r>
      <w:r w:rsidR="00EB158D" w:rsidRPr="009460F0">
        <w:rPr>
          <w:rFonts w:ascii="Arial" w:hAnsi="Arial" w:cs="Arial"/>
        </w:rPr>
        <w:t>,</w:t>
      </w:r>
      <w:r w:rsidR="00807A39" w:rsidRPr="009460F0">
        <w:rPr>
          <w:rFonts w:ascii="Arial" w:hAnsi="Arial" w:cs="Arial"/>
        </w:rPr>
        <w:t xml:space="preserve"> Sydney</w:t>
      </w:r>
      <w:r w:rsidR="00EB158D" w:rsidRPr="009460F0">
        <w:rPr>
          <w:rFonts w:ascii="Arial" w:hAnsi="Arial" w:cs="Arial"/>
        </w:rPr>
        <w:t xml:space="preserve"> and Singapore</w:t>
      </w:r>
      <w:r w:rsidR="00807A39" w:rsidRPr="009460F0">
        <w:rPr>
          <w:rFonts w:ascii="Arial" w:hAnsi="Arial" w:cs="Arial"/>
        </w:rPr>
        <w:t xml:space="preserve">. </w:t>
      </w:r>
      <w:r w:rsidR="00636B65" w:rsidRPr="009460F0">
        <w:rPr>
          <w:rFonts w:ascii="Arial" w:hAnsi="Arial" w:cs="Arial"/>
        </w:rPr>
        <w:t>B</w:t>
      </w:r>
      <w:r w:rsidR="00EB158D" w:rsidRPr="009460F0">
        <w:rPr>
          <w:rFonts w:ascii="Arial" w:hAnsi="Arial" w:cs="Arial"/>
        </w:rPr>
        <w:t>i-fuel vehicles using CNG and petrol are currently manufactured by Volkswagen and Volvo.</w:t>
      </w:r>
      <w:r w:rsidR="00382AA8">
        <w:rPr>
          <w:rFonts w:ascii="Arial" w:hAnsi="Arial" w:cs="Arial"/>
        </w:rPr>
        <w:t xml:space="preserve"> </w:t>
      </w:r>
    </w:p>
    <w:p w:rsidR="00EB158D" w:rsidRDefault="00EB158D" w:rsidP="00BA6C9D">
      <w:pPr>
        <w:spacing w:line="240" w:lineRule="auto"/>
        <w:rPr>
          <w:rFonts w:ascii="Arial" w:hAnsi="Arial" w:cs="Arial"/>
        </w:rPr>
      </w:pPr>
    </w:p>
    <w:p w:rsidR="00C45B18" w:rsidRPr="00CA75F8" w:rsidRDefault="00CE3B9C" w:rsidP="00BA6C9D">
      <w:pPr>
        <w:spacing w:line="240" w:lineRule="auto"/>
        <w:rPr>
          <w:rFonts w:ascii="Arial" w:hAnsi="Arial" w:cs="Arial"/>
        </w:rPr>
      </w:pPr>
      <w:r w:rsidRPr="00CA75F8">
        <w:rPr>
          <w:rFonts w:ascii="Arial" w:hAnsi="Arial" w:cs="Arial"/>
        </w:rPr>
        <w:t>It follows that n</w:t>
      </w:r>
      <w:r w:rsidR="00A4744E" w:rsidRPr="00CA75F8">
        <w:rPr>
          <w:rFonts w:ascii="Arial" w:hAnsi="Arial" w:cs="Arial"/>
        </w:rPr>
        <w:t>atural gas appears well worth investigating as a means of both reducing NZ’s reliance on crude oil and reducing our GHG emissions.</w:t>
      </w:r>
    </w:p>
    <w:p w:rsidR="00C45B18" w:rsidRDefault="00C45B18" w:rsidP="00C45B18">
      <w:pPr>
        <w:rPr>
          <w:rFonts w:ascii="Arial" w:hAnsi="Arial" w:cs="Arial"/>
        </w:rPr>
      </w:pPr>
    </w:p>
    <w:p w:rsidR="00CC15A3" w:rsidRDefault="00CC15A3" w:rsidP="00C45B18">
      <w:pPr>
        <w:rPr>
          <w:rFonts w:ascii="Arial" w:hAnsi="Arial" w:cs="Arial"/>
        </w:rPr>
      </w:pPr>
    </w:p>
    <w:p w:rsidR="00CC15A3" w:rsidRDefault="00CC15A3" w:rsidP="00C45B18">
      <w:pPr>
        <w:rPr>
          <w:rFonts w:ascii="Arial" w:hAnsi="Arial" w:cs="Arial"/>
        </w:rPr>
      </w:pPr>
    </w:p>
    <w:p w:rsidR="005E1D44" w:rsidRPr="007E4A0B" w:rsidRDefault="005E1D44" w:rsidP="00D12073">
      <w:pPr>
        <w:spacing w:line="240" w:lineRule="auto"/>
        <w:rPr>
          <w:rFonts w:ascii="Arial" w:hAnsi="Arial" w:cs="Arial"/>
          <w:b/>
          <w:i/>
        </w:rPr>
      </w:pPr>
      <w:r w:rsidRPr="007E4A0B">
        <w:rPr>
          <w:rFonts w:ascii="Arial" w:hAnsi="Arial" w:cs="Arial"/>
          <w:b/>
          <w:i/>
        </w:rPr>
        <w:t>Electric vehicles</w:t>
      </w:r>
    </w:p>
    <w:p w:rsidR="00BA6C9D" w:rsidRDefault="00AF0902" w:rsidP="00BA6C9D">
      <w:pPr>
        <w:spacing w:line="240" w:lineRule="auto"/>
        <w:rPr>
          <w:rFonts w:ascii="Arial" w:hAnsi="Arial" w:cs="Arial"/>
          <w:b/>
        </w:rPr>
      </w:pPr>
      <w:r>
        <w:rPr>
          <w:rFonts w:ascii="Arial" w:hAnsi="Arial" w:cs="Arial"/>
        </w:rPr>
        <w:t>Plug-in e</w:t>
      </w:r>
      <w:r w:rsidR="0001184B">
        <w:rPr>
          <w:rFonts w:ascii="Arial" w:hAnsi="Arial" w:cs="Arial"/>
        </w:rPr>
        <w:t xml:space="preserve">lectric vehicles </w:t>
      </w:r>
      <w:r w:rsidR="00815CBA">
        <w:rPr>
          <w:rFonts w:ascii="Arial" w:hAnsi="Arial" w:cs="Arial"/>
        </w:rPr>
        <w:t>c</w:t>
      </w:r>
      <w:r w:rsidR="0001184B">
        <w:rPr>
          <w:rFonts w:ascii="Arial" w:hAnsi="Arial" w:cs="Arial"/>
        </w:rPr>
        <w:t>ould be a very attractive option</w:t>
      </w:r>
      <w:r w:rsidR="00815CBA" w:rsidRPr="00815CBA">
        <w:rPr>
          <w:rFonts w:ascii="Arial" w:hAnsi="Arial" w:cs="Arial"/>
        </w:rPr>
        <w:t xml:space="preserve"> </w:t>
      </w:r>
      <w:r>
        <w:rPr>
          <w:rFonts w:ascii="Arial" w:hAnsi="Arial" w:cs="Arial"/>
        </w:rPr>
        <w:t>for</w:t>
      </w:r>
      <w:r w:rsidR="00815CBA">
        <w:rPr>
          <w:rFonts w:ascii="Arial" w:hAnsi="Arial" w:cs="Arial"/>
        </w:rPr>
        <w:t xml:space="preserve"> NZ</w:t>
      </w:r>
      <w:r w:rsidR="0001184B">
        <w:rPr>
          <w:rFonts w:ascii="Arial" w:hAnsi="Arial" w:cs="Arial"/>
        </w:rPr>
        <w:t xml:space="preserve"> in view of </w:t>
      </w:r>
      <w:r w:rsidR="0062241C">
        <w:rPr>
          <w:rFonts w:ascii="Arial" w:hAnsi="Arial" w:cs="Arial"/>
        </w:rPr>
        <w:t>its</w:t>
      </w:r>
      <w:r w:rsidR="0001184B">
        <w:rPr>
          <w:rFonts w:ascii="Arial" w:hAnsi="Arial" w:cs="Arial"/>
        </w:rPr>
        <w:t xml:space="preserve"> very</w:t>
      </w:r>
      <w:r w:rsidR="0062241C">
        <w:rPr>
          <w:rFonts w:ascii="Arial" w:hAnsi="Arial" w:cs="Arial"/>
        </w:rPr>
        <w:t xml:space="preserve"> high</w:t>
      </w:r>
      <w:r w:rsidR="0001184B">
        <w:rPr>
          <w:rFonts w:ascii="Arial" w:hAnsi="Arial" w:cs="Arial"/>
        </w:rPr>
        <w:t xml:space="preserve"> proportion of electricity generation from renewable sources. </w:t>
      </w:r>
      <w:r w:rsidR="00815CBA">
        <w:rPr>
          <w:rFonts w:ascii="Arial" w:hAnsi="Arial" w:cs="Arial"/>
        </w:rPr>
        <w:t xml:space="preserve">Technological challenges still to be overcome, however, include battery cost and charging time, and the distance vehicles can travel once charged. </w:t>
      </w:r>
      <w:r>
        <w:rPr>
          <w:rFonts w:ascii="Arial" w:hAnsi="Arial" w:cs="Arial"/>
        </w:rPr>
        <w:t>Current indications are that</w:t>
      </w:r>
      <w:r w:rsidR="0062241C">
        <w:rPr>
          <w:rFonts w:ascii="Arial" w:hAnsi="Arial" w:cs="Arial"/>
        </w:rPr>
        <w:t xml:space="preserve"> internationally</w:t>
      </w:r>
      <w:r>
        <w:rPr>
          <w:rFonts w:ascii="Arial" w:hAnsi="Arial" w:cs="Arial"/>
        </w:rPr>
        <w:t xml:space="preserve"> significant use of electric vehicles may become a reality from about 2030</w:t>
      </w:r>
      <w:r w:rsidR="00133086">
        <w:rPr>
          <w:rFonts w:ascii="Arial" w:hAnsi="Arial" w:cs="Arial"/>
        </w:rPr>
        <w:t>, possibly earlier (REN21, 2013)</w:t>
      </w:r>
      <w:r>
        <w:rPr>
          <w:rFonts w:ascii="Arial" w:hAnsi="Arial" w:cs="Arial"/>
        </w:rPr>
        <w:t xml:space="preserve">. In the </w:t>
      </w:r>
      <w:r w:rsidR="0062241C">
        <w:rPr>
          <w:rFonts w:ascii="Arial" w:hAnsi="Arial" w:cs="Arial"/>
        </w:rPr>
        <w:t>shorter term</w:t>
      </w:r>
      <w:r>
        <w:rPr>
          <w:rFonts w:ascii="Arial" w:hAnsi="Arial" w:cs="Arial"/>
        </w:rPr>
        <w:t xml:space="preserve">, electric </w:t>
      </w:r>
      <w:r w:rsidR="00201876">
        <w:rPr>
          <w:rFonts w:ascii="Arial" w:hAnsi="Arial" w:cs="Arial"/>
        </w:rPr>
        <w:t>bi</w:t>
      </w:r>
      <w:r>
        <w:rPr>
          <w:rFonts w:ascii="Arial" w:hAnsi="Arial" w:cs="Arial"/>
        </w:rPr>
        <w:t>cycles and scooters could become much more common</w:t>
      </w:r>
      <w:r w:rsidRPr="007E4A0B">
        <w:rPr>
          <w:rFonts w:ascii="Arial" w:hAnsi="Arial" w:cs="Arial"/>
          <w:b/>
        </w:rPr>
        <w:t>.</w:t>
      </w:r>
      <w:r w:rsidR="0062241C" w:rsidRPr="007E4A0B">
        <w:rPr>
          <w:rFonts w:ascii="Arial" w:hAnsi="Arial" w:cs="Arial"/>
          <w:b/>
        </w:rPr>
        <w:t xml:space="preserve"> </w:t>
      </w:r>
    </w:p>
    <w:p w:rsidR="00BA6C9D" w:rsidRDefault="00BA6C9D" w:rsidP="00BA6C9D">
      <w:pPr>
        <w:spacing w:line="240" w:lineRule="auto"/>
        <w:rPr>
          <w:rFonts w:ascii="Arial" w:hAnsi="Arial" w:cs="Arial"/>
          <w:b/>
        </w:rPr>
      </w:pPr>
    </w:p>
    <w:p w:rsidR="00C45B18" w:rsidRPr="00CA75F8" w:rsidRDefault="0062241C" w:rsidP="00BA6C9D">
      <w:pPr>
        <w:spacing w:line="240" w:lineRule="auto"/>
        <w:rPr>
          <w:rFonts w:ascii="Arial" w:hAnsi="Arial" w:cs="Arial"/>
        </w:rPr>
      </w:pPr>
      <w:r w:rsidRPr="00CA75F8">
        <w:rPr>
          <w:rFonts w:ascii="Arial" w:hAnsi="Arial" w:cs="Arial"/>
        </w:rPr>
        <w:t>In preparation for the time when electric vehicles may become relatively common, New Zealand should increase the proportion of electricity generation from renewable sources</w:t>
      </w:r>
      <w:r w:rsidR="00472B12" w:rsidRPr="00CA75F8">
        <w:rPr>
          <w:rFonts w:ascii="Arial" w:hAnsi="Arial" w:cs="Arial"/>
        </w:rPr>
        <w:t>. To assist with this it</w:t>
      </w:r>
      <w:r w:rsidRPr="00CA75F8">
        <w:rPr>
          <w:rFonts w:ascii="Arial" w:hAnsi="Arial" w:cs="Arial"/>
        </w:rPr>
        <w:t xml:space="preserve"> should</w:t>
      </w:r>
      <w:r w:rsidR="00472B12" w:rsidRPr="00CA75F8">
        <w:rPr>
          <w:rFonts w:ascii="Arial" w:hAnsi="Arial" w:cs="Arial"/>
        </w:rPr>
        <w:t xml:space="preserve"> be</w:t>
      </w:r>
      <w:r w:rsidRPr="00CA75F8">
        <w:rPr>
          <w:rFonts w:ascii="Arial" w:hAnsi="Arial" w:cs="Arial"/>
        </w:rPr>
        <w:t xml:space="preserve"> ensure</w:t>
      </w:r>
      <w:r w:rsidR="00472B12" w:rsidRPr="00CA75F8">
        <w:rPr>
          <w:rFonts w:ascii="Arial" w:hAnsi="Arial" w:cs="Arial"/>
        </w:rPr>
        <w:t>d</w:t>
      </w:r>
      <w:r w:rsidRPr="00CA75F8">
        <w:rPr>
          <w:rFonts w:ascii="Arial" w:hAnsi="Arial" w:cs="Arial"/>
        </w:rPr>
        <w:t xml:space="preserve"> that equitable feed-in tariffs are available</w:t>
      </w:r>
      <w:r w:rsidR="00472B12" w:rsidRPr="00CA75F8">
        <w:rPr>
          <w:rFonts w:ascii="Arial" w:hAnsi="Arial" w:cs="Arial"/>
        </w:rPr>
        <w:t xml:space="preserve"> for small or new electricity producers using renewable sources</w:t>
      </w:r>
      <w:r w:rsidRPr="00CA75F8">
        <w:rPr>
          <w:rFonts w:ascii="Arial" w:hAnsi="Arial" w:cs="Arial"/>
        </w:rPr>
        <w:t>.</w:t>
      </w:r>
      <w:r w:rsidR="007E4A0B" w:rsidRPr="00CA75F8">
        <w:rPr>
          <w:rFonts w:ascii="Arial" w:hAnsi="Arial" w:cs="Arial"/>
        </w:rPr>
        <w:t xml:space="preserve"> </w:t>
      </w:r>
    </w:p>
    <w:p w:rsidR="00201876" w:rsidRDefault="00201876" w:rsidP="00C45B18">
      <w:pPr>
        <w:rPr>
          <w:rFonts w:ascii="Arial" w:hAnsi="Arial" w:cs="Arial"/>
        </w:rPr>
      </w:pPr>
    </w:p>
    <w:p w:rsidR="005E1D44" w:rsidRPr="007E4A0B" w:rsidRDefault="001B0967" w:rsidP="00C45B18">
      <w:pPr>
        <w:rPr>
          <w:rFonts w:ascii="Arial" w:hAnsi="Arial" w:cs="Arial"/>
          <w:b/>
          <w:i/>
        </w:rPr>
      </w:pPr>
      <w:r>
        <w:rPr>
          <w:rFonts w:ascii="Arial" w:hAnsi="Arial" w:cs="Arial"/>
          <w:b/>
          <w:i/>
        </w:rPr>
        <w:t xml:space="preserve">Ethanol and </w:t>
      </w:r>
      <w:r w:rsidR="005E1D44" w:rsidRPr="007E4A0B">
        <w:rPr>
          <w:rFonts w:ascii="Arial" w:hAnsi="Arial" w:cs="Arial"/>
          <w:b/>
          <w:i/>
        </w:rPr>
        <w:t>Bio-diesel</w:t>
      </w:r>
    </w:p>
    <w:p w:rsidR="00690E0D" w:rsidRPr="00690E0D" w:rsidRDefault="00690E0D" w:rsidP="00D12073">
      <w:pPr>
        <w:spacing w:line="240" w:lineRule="auto"/>
        <w:rPr>
          <w:rFonts w:ascii="Arial" w:hAnsi="Arial" w:cs="Arial"/>
          <w:color w:val="FF0000"/>
        </w:rPr>
      </w:pPr>
      <w:r w:rsidRPr="00690E0D">
        <w:rPr>
          <w:rFonts w:ascii="Arial" w:hAnsi="Arial" w:cs="Arial"/>
        </w:rPr>
        <w:t>Ethanol is a renewable transportation fuel which can be blended with petrol, e.g. as E10, to help reduce imported oil requirements and greenhouse gas emissions. More than 95% of United States petrol contains up to 10% ethanol</w:t>
      </w:r>
      <w:r w:rsidR="007F2B59">
        <w:rPr>
          <w:rFonts w:ascii="Arial" w:hAnsi="Arial" w:cs="Arial"/>
        </w:rPr>
        <w:t xml:space="preserve"> (DOE, 2013)</w:t>
      </w:r>
      <w:r w:rsidRPr="00690E0D">
        <w:rPr>
          <w:rFonts w:ascii="Arial" w:hAnsi="Arial" w:cs="Arial"/>
        </w:rPr>
        <w:t>. E85 (up to 85% ethanol) can be used in flex-fuel vehicles which can run on E85, petrol or any blend of the two. Significant technology process has been made over the last couple of years in cellulose-base</w:t>
      </w:r>
      <w:r w:rsidR="007F2B59">
        <w:rPr>
          <w:rFonts w:ascii="Arial" w:hAnsi="Arial" w:cs="Arial"/>
        </w:rPr>
        <w:t>d</w:t>
      </w:r>
      <w:r w:rsidRPr="00690E0D">
        <w:rPr>
          <w:rFonts w:ascii="Arial" w:hAnsi="Arial" w:cs="Arial"/>
        </w:rPr>
        <w:t xml:space="preserve"> ethanol production which can use wood, </w:t>
      </w:r>
      <w:r w:rsidR="001B0967">
        <w:rPr>
          <w:rFonts w:ascii="Arial" w:hAnsi="Arial" w:cs="Arial"/>
        </w:rPr>
        <w:t>wheat straw</w:t>
      </w:r>
      <w:r w:rsidRPr="00690E0D">
        <w:rPr>
          <w:rFonts w:ascii="Arial" w:hAnsi="Arial" w:cs="Arial"/>
        </w:rPr>
        <w:t xml:space="preserve"> etc as feedstock.</w:t>
      </w:r>
      <w:r w:rsidR="001B0967">
        <w:rPr>
          <w:rFonts w:ascii="Arial" w:hAnsi="Arial" w:cs="Arial"/>
        </w:rPr>
        <w:t xml:space="preserve"> One process converts the cellulose to sugars then converts the sugars to ethanol. A second uses biomass gasification then microbial fermentation.  </w:t>
      </w:r>
    </w:p>
    <w:tbl>
      <w:tblPr>
        <w:tblStyle w:val="TableGrid"/>
        <w:tblW w:w="9091" w:type="dxa"/>
        <w:tblInd w:w="250" w:type="dxa"/>
        <w:tblLayout w:type="fixed"/>
        <w:tblLook w:val="04A0"/>
      </w:tblPr>
      <w:tblGrid>
        <w:gridCol w:w="3827"/>
        <w:gridCol w:w="1077"/>
        <w:gridCol w:w="4187"/>
      </w:tblGrid>
      <w:tr w:rsidR="00113E07" w:rsidTr="002624AA">
        <w:tc>
          <w:tcPr>
            <w:tcW w:w="3827" w:type="dxa"/>
            <w:tcBorders>
              <w:top w:val="nil"/>
              <w:left w:val="nil"/>
              <w:bottom w:val="nil"/>
              <w:right w:val="nil"/>
            </w:tcBorders>
          </w:tcPr>
          <w:p w:rsidR="00113E07" w:rsidRDefault="008D71D5" w:rsidP="005810E3">
            <w:pPr>
              <w:rPr>
                <w:rFonts w:ascii="Arial" w:hAnsi="Arial" w:cs="Arial"/>
              </w:rPr>
            </w:pPr>
            <w:r w:rsidRPr="008D71D5">
              <w:rPr>
                <w:rFonts w:ascii="Arial" w:hAnsi="Arial" w:cs="Arial"/>
                <w:noProof/>
                <w:lang w:eastAsia="en-NZ"/>
              </w:rPr>
              <w:drawing>
                <wp:inline distT="0" distB="0" distL="0" distR="0">
                  <wp:extent cx="2348630" cy="1524000"/>
                  <wp:effectExtent l="19050" t="0" r="0" b="0"/>
                  <wp:docPr id="28" name="Picture 16" descr="Radiata pine 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adiata pine plantation"/>
                          <pic:cNvPicPr>
                            <a:picLocks noChangeAspect="1" noChangeArrowheads="1"/>
                          </pic:cNvPicPr>
                        </pic:nvPicPr>
                        <pic:blipFill>
                          <a:blip r:embed="rId11" cstate="print"/>
                          <a:srcRect/>
                          <a:stretch>
                            <a:fillRect/>
                          </a:stretch>
                        </pic:blipFill>
                        <pic:spPr bwMode="auto">
                          <a:xfrm>
                            <a:off x="0" y="0"/>
                            <a:ext cx="2354284" cy="1527669"/>
                          </a:xfrm>
                          <a:prstGeom prst="rect">
                            <a:avLst/>
                          </a:prstGeom>
                          <a:noFill/>
                          <a:ln w="9525">
                            <a:noFill/>
                            <a:miter lim="800000"/>
                            <a:headEnd/>
                            <a:tailEnd/>
                          </a:ln>
                        </pic:spPr>
                      </pic:pic>
                    </a:graphicData>
                  </a:graphic>
                </wp:inline>
              </w:drawing>
            </w:r>
          </w:p>
        </w:tc>
        <w:tc>
          <w:tcPr>
            <w:tcW w:w="1077" w:type="dxa"/>
            <w:tcBorders>
              <w:top w:val="nil"/>
              <w:left w:val="nil"/>
              <w:bottom w:val="nil"/>
              <w:right w:val="nil"/>
            </w:tcBorders>
          </w:tcPr>
          <w:p w:rsidR="00113E07" w:rsidRDefault="00113E07" w:rsidP="005810E3">
            <w:pPr>
              <w:rPr>
                <w:rFonts w:ascii="Arial" w:hAnsi="Arial" w:cs="Arial"/>
              </w:rPr>
            </w:pPr>
          </w:p>
        </w:tc>
        <w:tc>
          <w:tcPr>
            <w:tcW w:w="4187" w:type="dxa"/>
            <w:tcBorders>
              <w:top w:val="nil"/>
              <w:left w:val="nil"/>
              <w:bottom w:val="nil"/>
              <w:right w:val="nil"/>
            </w:tcBorders>
          </w:tcPr>
          <w:p w:rsidR="00113E07" w:rsidRDefault="008D71D5" w:rsidP="005810E3">
            <w:pPr>
              <w:rPr>
                <w:rFonts w:ascii="Arial" w:hAnsi="Arial" w:cs="Arial"/>
              </w:rPr>
            </w:pPr>
            <w:r w:rsidRPr="008D71D5">
              <w:rPr>
                <w:rFonts w:ascii="Arial" w:hAnsi="Arial" w:cs="Arial"/>
                <w:noProof/>
                <w:lang w:eastAsia="en-NZ"/>
              </w:rPr>
              <w:drawing>
                <wp:inline distT="0" distB="0" distL="0" distR="0">
                  <wp:extent cx="2290404" cy="1524000"/>
                  <wp:effectExtent l="19050" t="0" r="0" b="0"/>
                  <wp:docPr id="27" name="Picture 4" descr="http://www.ernstseed.com/files/general_images/biomass/mower_in_sg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rnstseed.com/files/general_images/biomass/mower_in_sg260.jpg"/>
                          <pic:cNvPicPr>
                            <a:picLocks noChangeAspect="1" noChangeArrowheads="1"/>
                          </pic:cNvPicPr>
                        </pic:nvPicPr>
                        <pic:blipFill>
                          <a:blip r:embed="rId12" cstate="print"/>
                          <a:srcRect/>
                          <a:stretch>
                            <a:fillRect/>
                          </a:stretch>
                        </pic:blipFill>
                        <pic:spPr bwMode="auto">
                          <a:xfrm>
                            <a:off x="0" y="0"/>
                            <a:ext cx="2295180" cy="1527178"/>
                          </a:xfrm>
                          <a:prstGeom prst="rect">
                            <a:avLst/>
                          </a:prstGeom>
                          <a:noFill/>
                          <a:ln w="9525">
                            <a:noFill/>
                            <a:miter lim="800000"/>
                            <a:headEnd/>
                            <a:tailEnd/>
                          </a:ln>
                        </pic:spPr>
                      </pic:pic>
                    </a:graphicData>
                  </a:graphic>
                </wp:inline>
              </w:drawing>
            </w:r>
          </w:p>
        </w:tc>
      </w:tr>
    </w:tbl>
    <w:p w:rsidR="00113E07" w:rsidRPr="00201876" w:rsidRDefault="009C0EBC" w:rsidP="009C0EBC">
      <w:pPr>
        <w:rPr>
          <w:rFonts w:ascii="Arial" w:hAnsi="Arial" w:cs="Arial"/>
        </w:rPr>
      </w:pPr>
      <w:r>
        <w:rPr>
          <w:rFonts w:ascii="Arial" w:hAnsi="Arial" w:cs="Arial"/>
          <w:b/>
        </w:rPr>
        <w:t xml:space="preserve">  </w:t>
      </w:r>
      <w:r w:rsidR="008801CA">
        <w:rPr>
          <w:rFonts w:ascii="Arial" w:hAnsi="Arial" w:cs="Arial"/>
          <w:b/>
        </w:rPr>
        <w:t xml:space="preserve">   </w:t>
      </w:r>
      <w:r w:rsidR="00113E07" w:rsidRPr="00BA6C9D">
        <w:rPr>
          <w:rFonts w:ascii="Arial" w:hAnsi="Arial" w:cs="Arial"/>
          <w:b/>
        </w:rPr>
        <w:t>Fig</w:t>
      </w:r>
      <w:r w:rsidR="007B2C60">
        <w:rPr>
          <w:rFonts w:ascii="Arial" w:hAnsi="Arial" w:cs="Arial"/>
          <w:b/>
        </w:rPr>
        <w:t xml:space="preserve">ure </w:t>
      </w:r>
      <w:r w:rsidR="008C3F33">
        <w:rPr>
          <w:rFonts w:ascii="Arial" w:hAnsi="Arial" w:cs="Arial"/>
          <w:b/>
        </w:rPr>
        <w:t>2</w:t>
      </w:r>
      <w:r w:rsidR="003252DF" w:rsidRPr="00BA6C9D">
        <w:rPr>
          <w:rFonts w:ascii="Arial" w:hAnsi="Arial" w:cs="Arial"/>
          <w:b/>
        </w:rPr>
        <w:t>:</w:t>
      </w:r>
      <w:r w:rsidR="00113E07" w:rsidRPr="00BA6C9D">
        <w:rPr>
          <w:rFonts w:ascii="Arial" w:hAnsi="Arial" w:cs="Arial"/>
          <w:b/>
        </w:rPr>
        <w:t xml:space="preserve"> </w:t>
      </w:r>
      <w:proofErr w:type="spellStart"/>
      <w:r w:rsidR="008D71D5" w:rsidRPr="00BA6C9D">
        <w:rPr>
          <w:rFonts w:ascii="Arial" w:hAnsi="Arial" w:cs="Arial"/>
          <w:b/>
        </w:rPr>
        <w:t>Kaingaroa</w:t>
      </w:r>
      <w:proofErr w:type="spellEnd"/>
      <w:r w:rsidR="008D71D5" w:rsidRPr="00BA6C9D">
        <w:rPr>
          <w:rFonts w:ascii="Arial" w:hAnsi="Arial" w:cs="Arial"/>
          <w:b/>
        </w:rPr>
        <w:t xml:space="preserve"> Forest</w:t>
      </w:r>
      <w:r w:rsidR="00113E07">
        <w:rPr>
          <w:rFonts w:ascii="Arial" w:hAnsi="Arial" w:cs="Arial"/>
        </w:rPr>
        <w:tab/>
      </w:r>
      <w:r w:rsidR="00113E07">
        <w:rPr>
          <w:rFonts w:ascii="Arial" w:hAnsi="Arial" w:cs="Arial"/>
        </w:rPr>
        <w:tab/>
      </w:r>
      <w:r w:rsidR="008801CA">
        <w:rPr>
          <w:rFonts w:ascii="Arial" w:hAnsi="Arial" w:cs="Arial"/>
        </w:rPr>
        <w:t xml:space="preserve"> </w:t>
      </w:r>
      <w:r w:rsidR="002624AA">
        <w:rPr>
          <w:rFonts w:ascii="Arial" w:hAnsi="Arial" w:cs="Arial"/>
        </w:rPr>
        <w:tab/>
        <w:t xml:space="preserve">   </w:t>
      </w:r>
      <w:r w:rsidR="00113E07" w:rsidRPr="00BA6C9D">
        <w:rPr>
          <w:rFonts w:ascii="Arial" w:hAnsi="Arial" w:cs="Arial"/>
          <w:b/>
        </w:rPr>
        <w:t>Fig</w:t>
      </w:r>
      <w:r w:rsidR="007B2C60">
        <w:rPr>
          <w:rFonts w:ascii="Arial" w:hAnsi="Arial" w:cs="Arial"/>
          <w:b/>
        </w:rPr>
        <w:t>ure</w:t>
      </w:r>
      <w:r w:rsidR="00113E07" w:rsidRPr="00BA6C9D">
        <w:rPr>
          <w:rFonts w:ascii="Arial" w:hAnsi="Arial" w:cs="Arial"/>
          <w:b/>
        </w:rPr>
        <w:t xml:space="preserve"> </w:t>
      </w:r>
      <w:r w:rsidR="008C3F33">
        <w:rPr>
          <w:rFonts w:ascii="Arial" w:hAnsi="Arial" w:cs="Arial"/>
          <w:b/>
        </w:rPr>
        <w:t>3</w:t>
      </w:r>
      <w:r w:rsidR="00113E07" w:rsidRPr="00BA6C9D">
        <w:rPr>
          <w:rFonts w:ascii="Arial" w:hAnsi="Arial" w:cs="Arial"/>
          <w:b/>
        </w:rPr>
        <w:t xml:space="preserve">: </w:t>
      </w:r>
      <w:r w:rsidR="008D71D5" w:rsidRPr="00BA6C9D">
        <w:rPr>
          <w:rFonts w:ascii="Arial" w:hAnsi="Arial" w:cs="Arial"/>
          <w:b/>
        </w:rPr>
        <w:t>Switch grass</w:t>
      </w:r>
    </w:p>
    <w:p w:rsidR="00BA6C9D" w:rsidRDefault="001B0967" w:rsidP="00D12073">
      <w:pPr>
        <w:spacing w:line="240" w:lineRule="auto"/>
        <w:rPr>
          <w:rFonts w:ascii="Arial" w:hAnsi="Arial" w:cs="Arial"/>
        </w:rPr>
      </w:pPr>
      <w:r>
        <w:rPr>
          <w:rFonts w:ascii="Arial" w:hAnsi="Arial" w:cs="Arial"/>
        </w:rPr>
        <w:t>F</w:t>
      </w:r>
      <w:r w:rsidRPr="00201876">
        <w:rPr>
          <w:rFonts w:ascii="Arial" w:hAnsi="Arial" w:cs="Arial"/>
        </w:rPr>
        <w:t xml:space="preserve">orestry waste/wood chips and other organic </w:t>
      </w:r>
      <w:r>
        <w:rPr>
          <w:rFonts w:ascii="Arial" w:hAnsi="Arial" w:cs="Arial"/>
        </w:rPr>
        <w:t>sources could also be used</w:t>
      </w:r>
      <w:r w:rsidRPr="00201876">
        <w:rPr>
          <w:rFonts w:ascii="Arial" w:hAnsi="Arial" w:cs="Arial"/>
        </w:rPr>
        <w:t xml:space="preserve"> to produce biodiesel</w:t>
      </w:r>
      <w:r>
        <w:rPr>
          <w:rFonts w:ascii="Arial" w:hAnsi="Arial" w:cs="Arial"/>
        </w:rPr>
        <w:t xml:space="preserve"> in New Zealand. </w:t>
      </w:r>
      <w:proofErr w:type="spellStart"/>
      <w:r w:rsidR="00513CF3">
        <w:rPr>
          <w:rFonts w:ascii="Arial" w:hAnsi="Arial" w:cs="Arial"/>
        </w:rPr>
        <w:t>Radiata</w:t>
      </w:r>
      <w:proofErr w:type="spellEnd"/>
      <w:r w:rsidR="00513CF3">
        <w:rPr>
          <w:rFonts w:ascii="Arial" w:hAnsi="Arial" w:cs="Arial"/>
        </w:rPr>
        <w:t xml:space="preserve"> pine</w:t>
      </w:r>
      <w:r w:rsidR="008D71D5">
        <w:rPr>
          <w:rFonts w:ascii="Arial" w:hAnsi="Arial" w:cs="Arial"/>
        </w:rPr>
        <w:t xml:space="preserve"> dominates the </w:t>
      </w:r>
      <w:proofErr w:type="spellStart"/>
      <w:r w:rsidR="008D71D5">
        <w:rPr>
          <w:rFonts w:ascii="Arial" w:hAnsi="Arial" w:cs="Arial"/>
        </w:rPr>
        <w:t>Kaingaroa</w:t>
      </w:r>
      <w:proofErr w:type="spellEnd"/>
      <w:r w:rsidR="008D71D5">
        <w:rPr>
          <w:rFonts w:ascii="Arial" w:hAnsi="Arial" w:cs="Arial"/>
        </w:rPr>
        <w:t xml:space="preserve"> Forest in the central North Island with an area of 189,000 hectares</w:t>
      </w:r>
      <w:r w:rsidR="00BA6C9D">
        <w:rPr>
          <w:rFonts w:ascii="Arial" w:hAnsi="Arial" w:cs="Arial"/>
        </w:rPr>
        <w:t xml:space="preserve"> (Figure </w:t>
      </w:r>
      <w:r w:rsidR="008C3F33">
        <w:rPr>
          <w:rFonts w:ascii="Arial" w:hAnsi="Arial" w:cs="Arial"/>
        </w:rPr>
        <w:t>2</w:t>
      </w:r>
      <w:r w:rsidR="00BA6C9D">
        <w:rPr>
          <w:rFonts w:ascii="Arial" w:hAnsi="Arial" w:cs="Arial"/>
        </w:rPr>
        <w:t>)</w:t>
      </w:r>
      <w:r w:rsidR="008D71D5">
        <w:rPr>
          <w:rFonts w:ascii="Arial" w:hAnsi="Arial" w:cs="Arial"/>
        </w:rPr>
        <w:t xml:space="preserve">. </w:t>
      </w:r>
      <w:r w:rsidR="00D12073">
        <w:rPr>
          <w:rFonts w:ascii="Arial" w:hAnsi="Arial" w:cs="Arial"/>
        </w:rPr>
        <w:t xml:space="preserve">In 2010 the Parliamentary Commissioner for the Environment proposed that NZ focus on biodiesel as the economy is critically reliant on diesel including freight by road and bus transport. The Commissioner </w:t>
      </w:r>
      <w:r w:rsidR="008D71D5">
        <w:rPr>
          <w:rFonts w:ascii="Arial" w:hAnsi="Arial" w:cs="Arial"/>
        </w:rPr>
        <w:t xml:space="preserve">identified wood as an appropriate feedstock for producing drop-in biodiesel using the Fischer </w:t>
      </w:r>
      <w:proofErr w:type="spellStart"/>
      <w:r w:rsidR="008D71D5">
        <w:rPr>
          <w:rFonts w:ascii="Arial" w:hAnsi="Arial" w:cs="Arial"/>
        </w:rPr>
        <w:t>Tropsch</w:t>
      </w:r>
      <w:proofErr w:type="spellEnd"/>
      <w:r w:rsidR="008D71D5">
        <w:rPr>
          <w:rFonts w:ascii="Arial" w:hAnsi="Arial" w:cs="Arial"/>
        </w:rPr>
        <w:t xml:space="preserve"> process. Potentially 6,000 dry tonnes of low-quality wood could be delivered to </w:t>
      </w:r>
      <w:proofErr w:type="spellStart"/>
      <w:r w:rsidR="008D71D5">
        <w:rPr>
          <w:rFonts w:ascii="Arial" w:hAnsi="Arial" w:cs="Arial"/>
        </w:rPr>
        <w:t>Kawerau</w:t>
      </w:r>
      <w:proofErr w:type="spellEnd"/>
      <w:r w:rsidR="008D71D5">
        <w:rPr>
          <w:rFonts w:ascii="Arial" w:hAnsi="Arial" w:cs="Arial"/>
        </w:rPr>
        <w:t xml:space="preserve"> which could produce about 10% of NZ’s diesel needs.</w:t>
      </w:r>
      <w:r w:rsidR="001360F4">
        <w:rPr>
          <w:rFonts w:ascii="Arial" w:hAnsi="Arial" w:cs="Arial"/>
        </w:rPr>
        <w:t xml:space="preserve"> The estimated production cost was $1.85 per litre.</w:t>
      </w:r>
      <w:r w:rsidR="00D12073">
        <w:rPr>
          <w:rFonts w:ascii="Arial" w:hAnsi="Arial" w:cs="Arial"/>
        </w:rPr>
        <w:t xml:space="preserve"> </w:t>
      </w:r>
      <w:r w:rsidR="00A4744E">
        <w:rPr>
          <w:rFonts w:ascii="Arial" w:hAnsi="Arial" w:cs="Arial"/>
        </w:rPr>
        <w:t>Fast growing grasses such as s</w:t>
      </w:r>
      <w:r w:rsidR="00201876">
        <w:rPr>
          <w:rFonts w:ascii="Arial" w:hAnsi="Arial" w:cs="Arial"/>
        </w:rPr>
        <w:t>witch grass</w:t>
      </w:r>
      <w:r w:rsidR="00BA6C9D">
        <w:rPr>
          <w:rFonts w:ascii="Arial" w:hAnsi="Arial" w:cs="Arial"/>
        </w:rPr>
        <w:t xml:space="preserve"> (Figure </w:t>
      </w:r>
      <w:r w:rsidR="008C3F33">
        <w:rPr>
          <w:rFonts w:ascii="Arial" w:hAnsi="Arial" w:cs="Arial"/>
        </w:rPr>
        <w:t>3</w:t>
      </w:r>
      <w:r w:rsidR="00BA6C9D">
        <w:rPr>
          <w:rFonts w:ascii="Arial" w:hAnsi="Arial" w:cs="Arial"/>
        </w:rPr>
        <w:t>)</w:t>
      </w:r>
      <w:r w:rsidR="00201876">
        <w:rPr>
          <w:rFonts w:ascii="Arial" w:hAnsi="Arial" w:cs="Arial"/>
        </w:rPr>
        <w:t xml:space="preserve"> and </w:t>
      </w:r>
      <w:proofErr w:type="spellStart"/>
      <w:r w:rsidR="00201876">
        <w:rPr>
          <w:rFonts w:ascii="Arial" w:hAnsi="Arial" w:cs="Arial"/>
        </w:rPr>
        <w:t>miscanthus</w:t>
      </w:r>
      <w:proofErr w:type="spellEnd"/>
      <w:r w:rsidR="00201876">
        <w:rPr>
          <w:rFonts w:ascii="Arial" w:hAnsi="Arial" w:cs="Arial"/>
        </w:rPr>
        <w:t xml:space="preserve"> have also been identified as potential </w:t>
      </w:r>
      <w:proofErr w:type="spellStart"/>
      <w:r w:rsidR="00201876">
        <w:rPr>
          <w:rFonts w:ascii="Arial" w:hAnsi="Arial" w:cs="Arial"/>
        </w:rPr>
        <w:t>feedstocks</w:t>
      </w:r>
      <w:proofErr w:type="spellEnd"/>
      <w:r w:rsidR="00201876">
        <w:rPr>
          <w:rFonts w:ascii="Arial" w:hAnsi="Arial" w:cs="Arial"/>
        </w:rPr>
        <w:t xml:space="preserve">. They can be grown on marginal land, are drought resistant, minimal or no fertiliser is needed, and there is no need to till the land for 10 years. </w:t>
      </w:r>
    </w:p>
    <w:p w:rsidR="00BA6C9D" w:rsidRDefault="00BA6C9D" w:rsidP="00BA6C9D">
      <w:pPr>
        <w:pStyle w:val="NoSpacing"/>
      </w:pPr>
    </w:p>
    <w:p w:rsidR="00DC3818" w:rsidRPr="00CA75F8" w:rsidRDefault="00513CF3" w:rsidP="00D12073">
      <w:pPr>
        <w:spacing w:line="240" w:lineRule="auto"/>
        <w:rPr>
          <w:rFonts w:ascii="Arial" w:hAnsi="Arial" w:cs="Arial"/>
        </w:rPr>
      </w:pPr>
      <w:r w:rsidRPr="00CA75F8">
        <w:rPr>
          <w:rFonts w:ascii="Arial" w:hAnsi="Arial" w:cs="Arial"/>
        </w:rPr>
        <w:t>Due to the potential strate</w:t>
      </w:r>
      <w:r w:rsidR="00302D5B" w:rsidRPr="00CA75F8">
        <w:rPr>
          <w:rFonts w:ascii="Arial" w:hAnsi="Arial" w:cs="Arial"/>
        </w:rPr>
        <w:t>gi</w:t>
      </w:r>
      <w:r w:rsidR="007F2B59">
        <w:rPr>
          <w:rFonts w:ascii="Arial" w:hAnsi="Arial" w:cs="Arial"/>
        </w:rPr>
        <w:t>c and GHG reduction benefits</w:t>
      </w:r>
      <w:r w:rsidR="00EB6C3A" w:rsidRPr="00CA75F8">
        <w:rPr>
          <w:rFonts w:ascii="Arial" w:hAnsi="Arial" w:cs="Arial"/>
        </w:rPr>
        <w:t>,</w:t>
      </w:r>
      <w:r w:rsidR="00302D5B" w:rsidRPr="00CA75F8">
        <w:rPr>
          <w:rFonts w:ascii="Arial" w:hAnsi="Arial" w:cs="Arial"/>
        </w:rPr>
        <w:t xml:space="preserve"> New Zealand should </w:t>
      </w:r>
      <w:r w:rsidR="00DB3281" w:rsidRPr="00DB3281">
        <w:rPr>
          <w:rFonts w:ascii="Arial" w:hAnsi="Arial" w:cs="Arial"/>
        </w:rPr>
        <w:t xml:space="preserve">update previous investigations into the use of forestry waste/wood chips, fast growing grasses and other organic residue (such as water weed from lakes and algae from sewage ponds) to produce </w:t>
      </w:r>
      <w:proofErr w:type="spellStart"/>
      <w:r w:rsidR="00DB3281" w:rsidRPr="00DB3281">
        <w:rPr>
          <w:rFonts w:ascii="Arial" w:hAnsi="Arial" w:cs="Arial"/>
        </w:rPr>
        <w:t>bioethanol</w:t>
      </w:r>
      <w:proofErr w:type="spellEnd"/>
      <w:r w:rsidR="00DB3281" w:rsidRPr="00DB3281">
        <w:rPr>
          <w:rFonts w:ascii="Arial" w:hAnsi="Arial" w:cs="Arial"/>
        </w:rPr>
        <w:t xml:space="preserve"> or biodiesel with a view to supporting future investment in a large scale production plant or plants</w:t>
      </w:r>
      <w:r w:rsidR="00302D5B" w:rsidRPr="00DB3281">
        <w:rPr>
          <w:rFonts w:ascii="Arial" w:hAnsi="Arial" w:cs="Arial"/>
        </w:rPr>
        <w:t>.</w:t>
      </w:r>
      <w:r w:rsidR="00302D5B" w:rsidRPr="00CA75F8">
        <w:rPr>
          <w:rFonts w:ascii="Arial" w:hAnsi="Arial" w:cs="Arial"/>
        </w:rPr>
        <w:t xml:space="preserve"> </w:t>
      </w:r>
    </w:p>
    <w:p w:rsidR="00302D5B" w:rsidRDefault="00302D5B" w:rsidP="00D12073">
      <w:pPr>
        <w:spacing w:line="240" w:lineRule="auto"/>
        <w:rPr>
          <w:rFonts w:ascii="Arial" w:hAnsi="Arial" w:cs="Arial"/>
        </w:rPr>
      </w:pPr>
    </w:p>
    <w:p w:rsidR="007E4A0B" w:rsidRDefault="00BE37D2" w:rsidP="00D12073">
      <w:pPr>
        <w:spacing w:line="240" w:lineRule="auto"/>
        <w:rPr>
          <w:rFonts w:ascii="Arial" w:hAnsi="Arial" w:cs="Arial"/>
          <w:b/>
          <w:sz w:val="24"/>
          <w:szCs w:val="24"/>
        </w:rPr>
      </w:pPr>
      <w:r>
        <w:rPr>
          <w:rFonts w:ascii="Arial" w:hAnsi="Arial" w:cs="Arial"/>
          <w:b/>
          <w:sz w:val="24"/>
          <w:szCs w:val="24"/>
        </w:rPr>
        <w:t>4.2</w:t>
      </w:r>
      <w:r>
        <w:rPr>
          <w:rFonts w:ascii="Arial" w:hAnsi="Arial" w:cs="Arial"/>
          <w:b/>
          <w:sz w:val="24"/>
          <w:szCs w:val="24"/>
        </w:rPr>
        <w:tab/>
      </w:r>
      <w:r w:rsidR="00C86BC0">
        <w:rPr>
          <w:rFonts w:ascii="Arial" w:hAnsi="Arial" w:cs="Arial"/>
          <w:b/>
          <w:sz w:val="24"/>
          <w:szCs w:val="24"/>
        </w:rPr>
        <w:t>Innovative/emerging el</w:t>
      </w:r>
      <w:r w:rsidR="007E4A0B" w:rsidRPr="00D12FA7">
        <w:rPr>
          <w:rFonts w:ascii="Arial" w:hAnsi="Arial" w:cs="Arial"/>
          <w:b/>
          <w:sz w:val="24"/>
          <w:szCs w:val="24"/>
        </w:rPr>
        <w:t xml:space="preserve">ectric </w:t>
      </w:r>
      <w:r w:rsidR="00736FA6" w:rsidRPr="00D12FA7">
        <w:rPr>
          <w:rFonts w:ascii="Arial" w:hAnsi="Arial" w:cs="Arial"/>
          <w:b/>
          <w:sz w:val="24"/>
          <w:szCs w:val="24"/>
        </w:rPr>
        <w:t>public transport</w:t>
      </w:r>
    </w:p>
    <w:p w:rsidR="009460F0" w:rsidRDefault="009460F0" w:rsidP="009460F0">
      <w:pPr>
        <w:pStyle w:val="NoSpacing"/>
      </w:pPr>
    </w:p>
    <w:p w:rsidR="009460F0" w:rsidRDefault="009460F0" w:rsidP="009460F0">
      <w:pPr>
        <w:spacing w:line="240" w:lineRule="auto"/>
        <w:rPr>
          <w:rFonts w:ascii="Arial" w:hAnsi="Arial" w:cs="Arial"/>
        </w:rPr>
      </w:pPr>
      <w:r>
        <w:rPr>
          <w:rFonts w:ascii="Arial" w:hAnsi="Arial" w:cs="Arial"/>
        </w:rPr>
        <w:t>In Europe and the United States trials are currently underway of wireless charging of electric buses though inductive charging (Figure 4). In Mannheim electric buses recharge wirelessly while passengers get on and off the vehicles at bus stops along an inner city route (Barry, 2013). While this technology is clearly at the developmental stage it could offer real benefits by providing low noise, CO</w:t>
      </w:r>
      <w:r w:rsidRPr="00736FA6">
        <w:rPr>
          <w:rFonts w:ascii="Arial" w:hAnsi="Arial" w:cs="Arial"/>
          <w:vertAlign w:val="subscript"/>
        </w:rPr>
        <w:t>2</w:t>
      </w:r>
      <w:r>
        <w:rPr>
          <w:rFonts w:ascii="Arial" w:hAnsi="Arial" w:cs="Arial"/>
        </w:rPr>
        <w:t>-free bus transport in place of diesel buses without the need for overhead wiring. Auckland University engineers have been leading the development of wireless electric vehicle charging technology, and are currently working with Qualcomm.</w:t>
      </w:r>
    </w:p>
    <w:p w:rsidR="00F31816" w:rsidRPr="00F31816" w:rsidRDefault="00F31816" w:rsidP="007F2B59">
      <w:pPr>
        <w:pStyle w:val="NoSpacing"/>
      </w:pPr>
    </w:p>
    <w:tbl>
      <w:tblPr>
        <w:tblStyle w:val="TableGrid"/>
        <w:tblW w:w="0" w:type="auto"/>
        <w:tblInd w:w="675" w:type="dxa"/>
        <w:tblLook w:val="04A0"/>
      </w:tblPr>
      <w:tblGrid>
        <w:gridCol w:w="3402"/>
        <w:gridCol w:w="851"/>
        <w:gridCol w:w="3260"/>
      </w:tblGrid>
      <w:tr w:rsidR="00306484" w:rsidTr="001A6810">
        <w:tc>
          <w:tcPr>
            <w:tcW w:w="3402" w:type="dxa"/>
            <w:tcBorders>
              <w:top w:val="nil"/>
              <w:left w:val="nil"/>
              <w:bottom w:val="nil"/>
              <w:right w:val="nil"/>
            </w:tcBorders>
          </w:tcPr>
          <w:p w:rsidR="00306484" w:rsidRDefault="00306484" w:rsidP="005810E3">
            <w:pPr>
              <w:rPr>
                <w:rFonts w:ascii="Arial" w:hAnsi="Arial" w:cs="Arial"/>
              </w:rPr>
            </w:pPr>
            <w:r>
              <w:rPr>
                <w:noProof/>
                <w:lang w:eastAsia="en-NZ"/>
              </w:rPr>
              <w:drawing>
                <wp:inline distT="0" distB="0" distL="0" distR="0">
                  <wp:extent cx="1752600" cy="1752600"/>
                  <wp:effectExtent l="19050" t="0" r="0" b="0"/>
                  <wp:docPr id="2" name="Picture 10" descr="http://www.emoss.biz/images/EMOSS_Powertrain_IPT_primary-coil-E-Bus_Den_Bosch-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moss.biz/images/EMOSS_Powertrain_IPT_primary-coil-E-Bus_Den_Bosch-150x150.jpg"/>
                          <pic:cNvPicPr>
                            <a:picLocks noChangeAspect="1" noChangeArrowheads="1"/>
                          </pic:cNvPicPr>
                        </pic:nvPicPr>
                        <pic:blipFill>
                          <a:blip r:embed="rId13" cstate="print"/>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851" w:type="dxa"/>
            <w:tcBorders>
              <w:top w:val="nil"/>
              <w:left w:val="nil"/>
              <w:bottom w:val="nil"/>
              <w:right w:val="nil"/>
            </w:tcBorders>
          </w:tcPr>
          <w:p w:rsidR="00306484" w:rsidRDefault="007B2C60" w:rsidP="005810E3">
            <w:pPr>
              <w:rPr>
                <w:rFonts w:ascii="Arial" w:hAnsi="Arial" w:cs="Arial"/>
              </w:rPr>
            </w:pPr>
            <w:r>
              <w:rPr>
                <w:rFonts w:ascii="Arial" w:hAnsi="Arial" w:cs="Arial"/>
              </w:rPr>
              <w:t xml:space="preserve">             </w:t>
            </w:r>
          </w:p>
        </w:tc>
        <w:tc>
          <w:tcPr>
            <w:tcW w:w="3260" w:type="dxa"/>
            <w:tcBorders>
              <w:top w:val="nil"/>
              <w:left w:val="nil"/>
              <w:bottom w:val="nil"/>
              <w:right w:val="nil"/>
            </w:tcBorders>
          </w:tcPr>
          <w:p w:rsidR="00306484" w:rsidRDefault="00306484" w:rsidP="005810E3">
            <w:pPr>
              <w:rPr>
                <w:rFonts w:ascii="Arial" w:hAnsi="Arial" w:cs="Arial"/>
              </w:rPr>
            </w:pPr>
            <w:r w:rsidRPr="00E46D0F">
              <w:rPr>
                <w:rFonts w:ascii="Arial" w:hAnsi="Arial" w:cs="Arial"/>
                <w:noProof/>
                <w:lang w:eastAsia="en-NZ"/>
              </w:rPr>
              <w:drawing>
                <wp:inline distT="0" distB="0" distL="0" distR="0">
                  <wp:extent cx="1771650" cy="1771650"/>
                  <wp:effectExtent l="19050" t="0" r="0" b="0"/>
                  <wp:docPr id="3" name="Picture 7" descr="pods-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ds-004"/>
                          <pic:cNvPicPr>
                            <a:picLocks noChangeAspect="1" noChangeArrowheads="1"/>
                          </pic:cNvPicPr>
                        </pic:nvPicPr>
                        <pic:blipFill>
                          <a:blip r:embed="rId14" cstate="print"/>
                          <a:srcRect/>
                          <a:stretch>
                            <a:fillRect/>
                          </a:stretch>
                        </pic:blipFill>
                        <pic:spPr bwMode="auto">
                          <a:xfrm>
                            <a:off x="0" y="0"/>
                            <a:ext cx="1771650" cy="1771650"/>
                          </a:xfrm>
                          <a:prstGeom prst="rect">
                            <a:avLst/>
                          </a:prstGeom>
                          <a:noFill/>
                          <a:ln w="9525">
                            <a:noFill/>
                            <a:miter lim="800000"/>
                            <a:headEnd/>
                            <a:tailEnd/>
                          </a:ln>
                        </pic:spPr>
                      </pic:pic>
                    </a:graphicData>
                  </a:graphic>
                </wp:inline>
              </w:drawing>
            </w:r>
          </w:p>
        </w:tc>
      </w:tr>
    </w:tbl>
    <w:p w:rsidR="00306484" w:rsidRDefault="00BA6C9D" w:rsidP="00306484">
      <w:pPr>
        <w:spacing w:line="240" w:lineRule="auto"/>
        <w:rPr>
          <w:rFonts w:ascii="Arial" w:hAnsi="Arial" w:cs="Arial"/>
        </w:rPr>
      </w:pPr>
      <w:r>
        <w:rPr>
          <w:rFonts w:ascii="Arial" w:hAnsi="Arial" w:cs="Arial"/>
        </w:rPr>
        <w:t xml:space="preserve">         </w:t>
      </w:r>
      <w:r w:rsidR="00F411C1">
        <w:rPr>
          <w:rFonts w:ascii="Arial" w:hAnsi="Arial" w:cs="Arial"/>
        </w:rPr>
        <w:t xml:space="preserve">  </w:t>
      </w:r>
      <w:r w:rsidR="00306484" w:rsidRPr="00BA6C9D">
        <w:rPr>
          <w:rFonts w:ascii="Arial" w:hAnsi="Arial" w:cs="Arial"/>
          <w:b/>
        </w:rPr>
        <w:t xml:space="preserve">Fig </w:t>
      </w:r>
      <w:r w:rsidR="008C3F33">
        <w:rPr>
          <w:rFonts w:ascii="Arial" w:hAnsi="Arial" w:cs="Arial"/>
          <w:b/>
        </w:rPr>
        <w:t>4</w:t>
      </w:r>
      <w:r w:rsidR="00306484" w:rsidRPr="00BA6C9D">
        <w:rPr>
          <w:rFonts w:ascii="Arial" w:hAnsi="Arial" w:cs="Arial"/>
          <w:b/>
        </w:rPr>
        <w:t>: Wireless bus charging</w:t>
      </w:r>
      <w:r w:rsidR="00397BD3">
        <w:rPr>
          <w:rFonts w:ascii="Arial" w:hAnsi="Arial" w:cs="Arial"/>
          <w:b/>
        </w:rPr>
        <w:t xml:space="preserve"> trial</w:t>
      </w:r>
      <w:r w:rsidR="007B2C60">
        <w:rPr>
          <w:rFonts w:ascii="Arial" w:hAnsi="Arial" w:cs="Arial"/>
        </w:rPr>
        <w:t xml:space="preserve">       </w:t>
      </w:r>
      <w:r w:rsidR="00F411C1">
        <w:rPr>
          <w:rFonts w:ascii="Arial" w:hAnsi="Arial" w:cs="Arial"/>
        </w:rPr>
        <w:t xml:space="preserve">      </w:t>
      </w:r>
      <w:r w:rsidR="00306484" w:rsidRPr="00BA6C9D">
        <w:rPr>
          <w:rFonts w:ascii="Arial" w:hAnsi="Arial" w:cs="Arial"/>
          <w:b/>
        </w:rPr>
        <w:t xml:space="preserve">Fig </w:t>
      </w:r>
      <w:r w:rsidR="008C3F33">
        <w:rPr>
          <w:rFonts w:ascii="Arial" w:hAnsi="Arial" w:cs="Arial"/>
          <w:b/>
        </w:rPr>
        <w:t>5</w:t>
      </w:r>
      <w:r w:rsidR="00306484" w:rsidRPr="00BA6C9D">
        <w:rPr>
          <w:rFonts w:ascii="Arial" w:hAnsi="Arial" w:cs="Arial"/>
          <w:b/>
        </w:rPr>
        <w:t xml:space="preserve">: </w:t>
      </w:r>
      <w:proofErr w:type="spellStart"/>
      <w:r w:rsidR="00306484" w:rsidRPr="00BA6C9D">
        <w:rPr>
          <w:rFonts w:ascii="Arial" w:hAnsi="Arial" w:cs="Arial"/>
          <w:b/>
        </w:rPr>
        <w:t>U</w:t>
      </w:r>
      <w:r w:rsidR="00A12A14">
        <w:rPr>
          <w:rFonts w:ascii="Arial" w:hAnsi="Arial" w:cs="Arial"/>
          <w:b/>
        </w:rPr>
        <w:t>LT</w:t>
      </w:r>
      <w:r w:rsidR="00306484" w:rsidRPr="00BA6C9D">
        <w:rPr>
          <w:rFonts w:ascii="Arial" w:hAnsi="Arial" w:cs="Arial"/>
          <w:b/>
        </w:rPr>
        <w:t>ra</w:t>
      </w:r>
      <w:proofErr w:type="spellEnd"/>
      <w:r w:rsidR="00306484" w:rsidRPr="00BA6C9D">
        <w:rPr>
          <w:rFonts w:ascii="Arial" w:hAnsi="Arial" w:cs="Arial"/>
          <w:b/>
        </w:rPr>
        <w:t xml:space="preserve"> </w:t>
      </w:r>
      <w:proofErr w:type="spellStart"/>
      <w:r w:rsidR="00306484" w:rsidRPr="00BA6C9D">
        <w:rPr>
          <w:rFonts w:ascii="Arial" w:hAnsi="Arial" w:cs="Arial"/>
          <w:b/>
        </w:rPr>
        <w:t>guideway</w:t>
      </w:r>
      <w:proofErr w:type="spellEnd"/>
      <w:r w:rsidR="00306484" w:rsidRPr="00BA6C9D">
        <w:rPr>
          <w:rFonts w:ascii="Arial" w:hAnsi="Arial" w:cs="Arial"/>
          <w:b/>
        </w:rPr>
        <w:t xml:space="preserve"> and pods</w:t>
      </w:r>
    </w:p>
    <w:p w:rsidR="00F31816" w:rsidRDefault="00F31816" w:rsidP="009460F0">
      <w:pPr>
        <w:pStyle w:val="NoSpacing"/>
      </w:pPr>
    </w:p>
    <w:p w:rsidR="00736FA6" w:rsidRDefault="002E409B" w:rsidP="00D12073">
      <w:pPr>
        <w:spacing w:line="240" w:lineRule="auto"/>
        <w:rPr>
          <w:rFonts w:ascii="Arial" w:hAnsi="Arial" w:cs="Arial"/>
        </w:rPr>
      </w:pPr>
      <w:r>
        <w:rPr>
          <w:rFonts w:ascii="Arial" w:hAnsi="Arial" w:cs="Arial"/>
        </w:rPr>
        <w:t>Fully automated</w:t>
      </w:r>
      <w:r w:rsidR="00736FA6">
        <w:rPr>
          <w:rFonts w:ascii="Arial" w:hAnsi="Arial" w:cs="Arial"/>
        </w:rPr>
        <w:t xml:space="preserve"> </w:t>
      </w:r>
      <w:r>
        <w:rPr>
          <w:rFonts w:ascii="Arial" w:hAnsi="Arial" w:cs="Arial"/>
        </w:rPr>
        <w:t>battery powered</w:t>
      </w:r>
      <w:r w:rsidR="00736FA6">
        <w:rPr>
          <w:rFonts w:ascii="Arial" w:hAnsi="Arial" w:cs="Arial"/>
        </w:rPr>
        <w:t xml:space="preserve"> public transport using</w:t>
      </w:r>
      <w:r>
        <w:rPr>
          <w:rFonts w:ascii="Arial" w:hAnsi="Arial" w:cs="Arial"/>
        </w:rPr>
        <w:t xml:space="preserve"> </w:t>
      </w:r>
      <w:r w:rsidR="00736FA6">
        <w:rPr>
          <w:rFonts w:ascii="Arial" w:hAnsi="Arial" w:cs="Arial"/>
        </w:rPr>
        <w:t>pods</w:t>
      </w:r>
      <w:r w:rsidR="00136E3C">
        <w:rPr>
          <w:rFonts w:ascii="Arial" w:hAnsi="Arial" w:cs="Arial"/>
        </w:rPr>
        <w:t xml:space="preserve"> (small, lightweight, driverless electric vehicles) </w:t>
      </w:r>
      <w:r w:rsidR="00736FA6">
        <w:rPr>
          <w:rFonts w:ascii="Arial" w:hAnsi="Arial" w:cs="Arial"/>
        </w:rPr>
        <w:t xml:space="preserve">running on relatively slender </w:t>
      </w:r>
      <w:proofErr w:type="spellStart"/>
      <w:r w:rsidR="00736FA6">
        <w:rPr>
          <w:rFonts w:ascii="Arial" w:hAnsi="Arial" w:cs="Arial"/>
        </w:rPr>
        <w:t>guideways</w:t>
      </w:r>
      <w:proofErr w:type="spellEnd"/>
      <w:r w:rsidR="00736FA6">
        <w:rPr>
          <w:rFonts w:ascii="Arial" w:hAnsi="Arial" w:cs="Arial"/>
        </w:rPr>
        <w:t xml:space="preserve"> </w:t>
      </w:r>
      <w:r>
        <w:rPr>
          <w:rFonts w:ascii="Arial" w:hAnsi="Arial" w:cs="Arial"/>
        </w:rPr>
        <w:t>is</w:t>
      </w:r>
      <w:r w:rsidR="00736FA6">
        <w:rPr>
          <w:rFonts w:ascii="Arial" w:hAnsi="Arial" w:cs="Arial"/>
        </w:rPr>
        <w:t xml:space="preserve"> now entering commercial operation</w:t>
      </w:r>
      <w:r>
        <w:rPr>
          <w:rFonts w:ascii="Arial" w:hAnsi="Arial" w:cs="Arial"/>
        </w:rPr>
        <w:t xml:space="preserve"> and could provide a real option for congested inner city areas. The </w:t>
      </w:r>
      <w:proofErr w:type="spellStart"/>
      <w:r>
        <w:rPr>
          <w:rFonts w:ascii="Arial" w:hAnsi="Arial" w:cs="Arial"/>
        </w:rPr>
        <w:t>ULTra</w:t>
      </w:r>
      <w:proofErr w:type="spellEnd"/>
      <w:r>
        <w:rPr>
          <w:rFonts w:ascii="Arial" w:hAnsi="Arial" w:cs="Arial"/>
        </w:rPr>
        <w:t xml:space="preserve"> system</w:t>
      </w:r>
      <w:r w:rsidR="00BA6C9D">
        <w:rPr>
          <w:rFonts w:ascii="Arial" w:hAnsi="Arial" w:cs="Arial"/>
        </w:rPr>
        <w:t xml:space="preserve"> (Figure </w:t>
      </w:r>
      <w:r w:rsidR="008C3F33">
        <w:rPr>
          <w:rFonts w:ascii="Arial" w:hAnsi="Arial" w:cs="Arial"/>
        </w:rPr>
        <w:t>5</w:t>
      </w:r>
      <w:r w:rsidR="00BA6C9D">
        <w:rPr>
          <w:rFonts w:ascii="Arial" w:hAnsi="Arial" w:cs="Arial"/>
        </w:rPr>
        <w:t>)</w:t>
      </w:r>
      <w:r>
        <w:rPr>
          <w:rFonts w:ascii="Arial" w:hAnsi="Arial" w:cs="Arial"/>
        </w:rPr>
        <w:t xml:space="preserve"> is currently operating at Heathrow Terminal 4. The first urban PRT is being built in Amritsar, India and is to go live in 2014. It consists of an 8km elevated </w:t>
      </w:r>
      <w:proofErr w:type="spellStart"/>
      <w:r>
        <w:rPr>
          <w:rFonts w:ascii="Arial" w:hAnsi="Arial" w:cs="Arial"/>
        </w:rPr>
        <w:t>guideway</w:t>
      </w:r>
      <w:proofErr w:type="spellEnd"/>
      <w:r>
        <w:rPr>
          <w:rFonts w:ascii="Arial" w:hAnsi="Arial" w:cs="Arial"/>
        </w:rPr>
        <w:t xml:space="preserve"> and 7 stations with 200 pods</w:t>
      </w:r>
      <w:r w:rsidR="0018341B">
        <w:rPr>
          <w:rFonts w:ascii="Arial" w:hAnsi="Arial" w:cs="Arial"/>
        </w:rPr>
        <w:t xml:space="preserve"> which is capable of</w:t>
      </w:r>
      <w:r>
        <w:rPr>
          <w:rFonts w:ascii="Arial" w:hAnsi="Arial" w:cs="Arial"/>
        </w:rPr>
        <w:t xml:space="preserve"> carrying 50,000 passengers/day</w:t>
      </w:r>
      <w:r w:rsidR="00CD5901">
        <w:rPr>
          <w:rFonts w:ascii="Arial" w:hAnsi="Arial" w:cs="Arial"/>
        </w:rPr>
        <w:t xml:space="preserve"> (ULT, 2013)</w:t>
      </w:r>
      <w:r>
        <w:rPr>
          <w:rFonts w:ascii="Arial" w:hAnsi="Arial" w:cs="Arial"/>
        </w:rPr>
        <w:t>.</w:t>
      </w:r>
      <w:r w:rsidR="00136E3C">
        <w:rPr>
          <w:rFonts w:ascii="Arial" w:hAnsi="Arial" w:cs="Arial"/>
        </w:rPr>
        <w:t xml:space="preserve"> </w:t>
      </w:r>
    </w:p>
    <w:p w:rsidR="00E46D0F" w:rsidRDefault="00E46D0F" w:rsidP="00D12073">
      <w:pPr>
        <w:spacing w:line="240" w:lineRule="auto"/>
        <w:rPr>
          <w:rFonts w:ascii="Arial" w:hAnsi="Arial" w:cs="Arial"/>
        </w:rPr>
      </w:pPr>
    </w:p>
    <w:p w:rsidR="00136E3C" w:rsidRPr="00CA75F8" w:rsidRDefault="00146D36" w:rsidP="00D12073">
      <w:pPr>
        <w:spacing w:line="240" w:lineRule="auto"/>
        <w:rPr>
          <w:rFonts w:ascii="Arial" w:hAnsi="Arial" w:cs="Arial"/>
        </w:rPr>
      </w:pPr>
      <w:r w:rsidRPr="00CA75F8">
        <w:rPr>
          <w:rFonts w:ascii="Arial" w:hAnsi="Arial" w:cs="Arial"/>
        </w:rPr>
        <w:t>I suggest that it is time we looked beyond diesel buses to innovative public transport options that</w:t>
      </w:r>
      <w:r w:rsidR="00F816B2" w:rsidRPr="00CA75F8">
        <w:rPr>
          <w:rFonts w:ascii="Arial" w:hAnsi="Arial" w:cs="Arial"/>
        </w:rPr>
        <w:t xml:space="preserve"> have the potential to</w:t>
      </w:r>
      <w:r w:rsidRPr="00CA75F8">
        <w:rPr>
          <w:rFonts w:ascii="Arial" w:hAnsi="Arial" w:cs="Arial"/>
        </w:rPr>
        <w:t xml:space="preserve"> </w:t>
      </w:r>
      <w:r w:rsidR="00F816B2" w:rsidRPr="00CA75F8">
        <w:rPr>
          <w:rFonts w:ascii="Arial" w:hAnsi="Arial" w:cs="Arial"/>
        </w:rPr>
        <w:t xml:space="preserve">reduce operating costs, reduce GHG emissions and pollution, and improve our transport energy security.  </w:t>
      </w:r>
      <w:r w:rsidRPr="00CA75F8">
        <w:rPr>
          <w:rFonts w:ascii="Arial" w:hAnsi="Arial" w:cs="Arial"/>
        </w:rPr>
        <w:t xml:space="preserve">   </w:t>
      </w:r>
      <w:r w:rsidR="00D12FA7" w:rsidRPr="00CA75F8">
        <w:rPr>
          <w:rFonts w:ascii="Arial" w:hAnsi="Arial" w:cs="Arial"/>
        </w:rPr>
        <w:t xml:space="preserve"> </w:t>
      </w:r>
    </w:p>
    <w:p w:rsidR="00136E3C" w:rsidRDefault="00136E3C" w:rsidP="00D12073">
      <w:pPr>
        <w:spacing w:line="240" w:lineRule="auto"/>
        <w:rPr>
          <w:rFonts w:ascii="Arial" w:hAnsi="Arial" w:cs="Arial"/>
        </w:rPr>
      </w:pPr>
    </w:p>
    <w:p w:rsidR="0018341B" w:rsidRPr="0018341B" w:rsidRDefault="00BE37D2" w:rsidP="00D12073">
      <w:pPr>
        <w:spacing w:line="240" w:lineRule="auto"/>
        <w:rPr>
          <w:rFonts w:ascii="Arial" w:hAnsi="Arial" w:cs="Arial"/>
          <w:b/>
          <w:sz w:val="24"/>
          <w:szCs w:val="24"/>
        </w:rPr>
      </w:pPr>
      <w:r>
        <w:rPr>
          <w:rFonts w:ascii="Arial" w:hAnsi="Arial" w:cs="Arial"/>
          <w:b/>
          <w:sz w:val="24"/>
          <w:szCs w:val="24"/>
        </w:rPr>
        <w:t>4.3</w:t>
      </w:r>
      <w:r>
        <w:rPr>
          <w:rFonts w:ascii="Arial" w:hAnsi="Arial" w:cs="Arial"/>
          <w:b/>
          <w:sz w:val="24"/>
          <w:szCs w:val="24"/>
        </w:rPr>
        <w:tab/>
      </w:r>
      <w:r w:rsidR="00654BFC">
        <w:rPr>
          <w:rFonts w:ascii="Arial" w:hAnsi="Arial" w:cs="Arial"/>
          <w:b/>
          <w:sz w:val="24"/>
          <w:szCs w:val="24"/>
        </w:rPr>
        <w:t>Managing Travel Demands</w:t>
      </w:r>
    </w:p>
    <w:p w:rsidR="00D872B1" w:rsidRDefault="00D872B1" w:rsidP="00D12073">
      <w:pPr>
        <w:spacing w:line="240" w:lineRule="auto"/>
        <w:rPr>
          <w:rFonts w:ascii="Arial" w:hAnsi="Arial" w:cs="Arial"/>
        </w:rPr>
      </w:pPr>
      <w:r>
        <w:rPr>
          <w:rFonts w:ascii="Arial" w:hAnsi="Arial" w:cs="Arial"/>
        </w:rPr>
        <w:t>Travel demand management has to be a core element of policies for reducing GHG emissions and improving energy security b</w:t>
      </w:r>
      <w:r w:rsidR="003721DB">
        <w:rPr>
          <w:rFonts w:ascii="Arial" w:hAnsi="Arial" w:cs="Arial"/>
        </w:rPr>
        <w:t>y</w:t>
      </w:r>
      <w:r>
        <w:rPr>
          <w:rFonts w:ascii="Arial" w:hAnsi="Arial" w:cs="Arial"/>
        </w:rPr>
        <w:t xml:space="preserve"> reducing transport energy demands. </w:t>
      </w:r>
    </w:p>
    <w:p w:rsidR="00D872B1" w:rsidRDefault="00D872B1" w:rsidP="00D12073">
      <w:pPr>
        <w:spacing w:line="240" w:lineRule="auto"/>
        <w:rPr>
          <w:rFonts w:ascii="Arial" w:hAnsi="Arial" w:cs="Arial"/>
        </w:rPr>
      </w:pPr>
    </w:p>
    <w:p w:rsidR="0018341B" w:rsidRPr="00F20CE5" w:rsidRDefault="0018341B" w:rsidP="00D12073">
      <w:pPr>
        <w:spacing w:line="240" w:lineRule="auto"/>
        <w:rPr>
          <w:rFonts w:ascii="Arial" w:hAnsi="Arial" w:cs="Arial"/>
          <w:b/>
          <w:i/>
        </w:rPr>
      </w:pPr>
      <w:r w:rsidRPr="00F20CE5">
        <w:rPr>
          <w:rFonts w:ascii="Arial" w:hAnsi="Arial" w:cs="Arial"/>
          <w:b/>
          <w:i/>
        </w:rPr>
        <w:t xml:space="preserve">Road Pricing </w:t>
      </w:r>
    </w:p>
    <w:p w:rsidR="00AD56C2" w:rsidRDefault="00D872B1" w:rsidP="00D12073">
      <w:pPr>
        <w:spacing w:line="240" w:lineRule="auto"/>
        <w:rPr>
          <w:rFonts w:ascii="Arial" w:hAnsi="Arial" w:cs="Arial"/>
        </w:rPr>
      </w:pPr>
      <w:r w:rsidRPr="00CA75F8">
        <w:rPr>
          <w:rFonts w:ascii="Arial" w:hAnsi="Arial" w:cs="Arial"/>
        </w:rPr>
        <w:t>In my view it is essential that congestion charging be introduced in New Zealand’s major cities starting with Auckland. By increasing the cost of travel during congested periods to better</w:t>
      </w:r>
      <w:r>
        <w:rPr>
          <w:rFonts w:ascii="Arial" w:hAnsi="Arial" w:cs="Arial"/>
        </w:rPr>
        <w:t xml:space="preserve"> reflect the true marginal social</w:t>
      </w:r>
      <w:r w:rsidR="0018341B">
        <w:rPr>
          <w:rFonts w:ascii="Arial" w:hAnsi="Arial" w:cs="Arial"/>
        </w:rPr>
        <w:t xml:space="preserve"> </w:t>
      </w:r>
      <w:r>
        <w:rPr>
          <w:rFonts w:ascii="Arial" w:hAnsi="Arial" w:cs="Arial"/>
        </w:rPr>
        <w:t>costs more efficient use can be made of the existing road network. Road users can pay the charge, choose to travel at a different time or by a different route</w:t>
      </w:r>
      <w:r w:rsidR="00AD56C2">
        <w:rPr>
          <w:rFonts w:ascii="Arial" w:hAnsi="Arial" w:cs="Arial"/>
        </w:rPr>
        <w:t xml:space="preserve"> if available</w:t>
      </w:r>
      <w:r>
        <w:rPr>
          <w:rFonts w:ascii="Arial" w:hAnsi="Arial" w:cs="Arial"/>
        </w:rPr>
        <w:t>, or use a different mode of transport.</w:t>
      </w:r>
    </w:p>
    <w:p w:rsidR="00AD56C2" w:rsidRDefault="00AD56C2" w:rsidP="00D12073">
      <w:pPr>
        <w:spacing w:line="240" w:lineRule="auto"/>
        <w:rPr>
          <w:rFonts w:ascii="Arial" w:hAnsi="Arial" w:cs="Arial"/>
        </w:rPr>
      </w:pPr>
    </w:p>
    <w:p w:rsidR="00136E3C" w:rsidRDefault="00AD56C2" w:rsidP="00D12073">
      <w:pPr>
        <w:spacing w:line="240" w:lineRule="auto"/>
        <w:rPr>
          <w:rFonts w:ascii="Arial" w:hAnsi="Arial" w:cs="Arial"/>
        </w:rPr>
      </w:pPr>
      <w:r>
        <w:rPr>
          <w:rFonts w:ascii="Arial" w:hAnsi="Arial" w:cs="Arial"/>
        </w:rPr>
        <w:t>Congestion charging has been successfully introduced in a growing number of cities including Singapore, central London and Stockholm. It generally applies to travel within a congested area, typically the city centre,</w:t>
      </w:r>
      <w:r w:rsidRPr="00AD56C2">
        <w:rPr>
          <w:rFonts w:ascii="Arial" w:hAnsi="Arial" w:cs="Arial"/>
        </w:rPr>
        <w:t xml:space="preserve"> </w:t>
      </w:r>
      <w:r>
        <w:rPr>
          <w:rFonts w:ascii="Arial" w:hAnsi="Arial" w:cs="Arial"/>
        </w:rPr>
        <w:t xml:space="preserve">defined by a cordon. Charges can vary according to the time of day/ </w:t>
      </w:r>
      <w:r w:rsidR="003721DB">
        <w:rPr>
          <w:rFonts w:ascii="Arial" w:hAnsi="Arial" w:cs="Arial"/>
        </w:rPr>
        <w:t>level of congestion and by type of vehicle.</w:t>
      </w:r>
    </w:p>
    <w:p w:rsidR="00AD56C2" w:rsidRDefault="00AD56C2" w:rsidP="00D12073">
      <w:pPr>
        <w:spacing w:line="240" w:lineRule="auto"/>
        <w:rPr>
          <w:rFonts w:ascii="Arial" w:hAnsi="Arial" w:cs="Arial"/>
        </w:rPr>
      </w:pPr>
    </w:p>
    <w:p w:rsidR="00AD56C2" w:rsidRDefault="00E151AC" w:rsidP="00D12073">
      <w:pPr>
        <w:spacing w:line="240" w:lineRule="auto"/>
        <w:rPr>
          <w:rFonts w:ascii="Arial" w:hAnsi="Arial" w:cs="Arial"/>
        </w:rPr>
      </w:pPr>
      <w:r>
        <w:rPr>
          <w:rFonts w:ascii="Arial" w:hAnsi="Arial" w:cs="Arial"/>
        </w:rPr>
        <w:t xml:space="preserve"> Although charges are designed primarily to influence travel behaviour not to maximise (net) income, c</w:t>
      </w:r>
      <w:r w:rsidR="00AD56C2">
        <w:rPr>
          <w:rFonts w:ascii="Arial" w:hAnsi="Arial" w:cs="Arial"/>
        </w:rPr>
        <w:t>ongestion charging schemes generate income which can be used to improve the transport system.</w:t>
      </w:r>
      <w:r w:rsidR="003721DB">
        <w:rPr>
          <w:rFonts w:ascii="Arial" w:hAnsi="Arial" w:cs="Arial"/>
        </w:rPr>
        <w:t xml:space="preserve"> To ensure that public transport offers a good alternative, </w:t>
      </w:r>
      <w:r w:rsidR="00382AA8">
        <w:rPr>
          <w:rFonts w:ascii="Arial" w:hAnsi="Arial" w:cs="Arial"/>
        </w:rPr>
        <w:t>the</w:t>
      </w:r>
      <w:r w:rsidR="003721DB">
        <w:rPr>
          <w:rFonts w:ascii="Arial" w:hAnsi="Arial" w:cs="Arial"/>
        </w:rPr>
        <w:t xml:space="preserve"> Auckland congestion charging scheme should be implemented after completion of the current redesign of the bus network and construction of the City Rail Link is completed.   </w:t>
      </w:r>
    </w:p>
    <w:p w:rsidR="00736FA6" w:rsidRDefault="00736FA6" w:rsidP="00D12073">
      <w:pPr>
        <w:spacing w:line="240" w:lineRule="auto"/>
        <w:rPr>
          <w:rFonts w:ascii="Arial" w:hAnsi="Arial" w:cs="Arial"/>
        </w:rPr>
      </w:pPr>
    </w:p>
    <w:p w:rsidR="008D4399" w:rsidRPr="00F20CE5" w:rsidRDefault="008D4399" w:rsidP="00D12073">
      <w:pPr>
        <w:spacing w:line="240" w:lineRule="auto"/>
        <w:rPr>
          <w:rFonts w:ascii="Arial" w:hAnsi="Arial" w:cs="Arial"/>
          <w:b/>
          <w:i/>
        </w:rPr>
      </w:pPr>
      <w:r w:rsidRPr="00F20CE5">
        <w:rPr>
          <w:rFonts w:ascii="Arial" w:hAnsi="Arial" w:cs="Arial"/>
          <w:b/>
          <w:i/>
        </w:rPr>
        <w:t>Transport Funding</w:t>
      </w:r>
    </w:p>
    <w:p w:rsidR="00F20CE5" w:rsidRDefault="008D4399" w:rsidP="00D12073">
      <w:pPr>
        <w:spacing w:line="240" w:lineRule="auto"/>
        <w:rPr>
          <w:rFonts w:ascii="Arial" w:hAnsi="Arial" w:cs="Arial"/>
        </w:rPr>
      </w:pPr>
      <w:r>
        <w:rPr>
          <w:rFonts w:ascii="Arial" w:hAnsi="Arial" w:cs="Arial"/>
        </w:rPr>
        <w:t xml:space="preserve">Central Government sets out the </w:t>
      </w:r>
      <w:r w:rsidR="00F20CE5">
        <w:rPr>
          <w:rFonts w:ascii="Arial" w:hAnsi="Arial" w:cs="Arial"/>
        </w:rPr>
        <w:t>parameters</w:t>
      </w:r>
      <w:r>
        <w:rPr>
          <w:rFonts w:ascii="Arial" w:hAnsi="Arial" w:cs="Arial"/>
        </w:rPr>
        <w:t xml:space="preserve"> for</w:t>
      </w:r>
      <w:r w:rsidR="00F20CE5">
        <w:rPr>
          <w:rFonts w:ascii="Arial" w:hAnsi="Arial" w:cs="Arial"/>
        </w:rPr>
        <w:t xml:space="preserve"> the New Zealand Transport Agency’s policies for</w:t>
      </w:r>
      <w:r>
        <w:rPr>
          <w:rFonts w:ascii="Arial" w:hAnsi="Arial" w:cs="Arial"/>
        </w:rPr>
        <w:t xml:space="preserve"> </w:t>
      </w:r>
      <w:r w:rsidR="00F20CE5">
        <w:rPr>
          <w:rFonts w:ascii="Arial" w:hAnsi="Arial" w:cs="Arial"/>
        </w:rPr>
        <w:t xml:space="preserve">funding assistance through the national land transport fund in its 3-yearly GPS for land transport funding. This includes the funding envelopes for the activity groups such as state highway, local roads, public transport, and walking and cycling infrastructure. </w:t>
      </w:r>
    </w:p>
    <w:p w:rsidR="00F20CE5" w:rsidRDefault="00F20CE5" w:rsidP="00D12073">
      <w:pPr>
        <w:spacing w:line="240" w:lineRule="auto"/>
        <w:rPr>
          <w:rFonts w:ascii="Arial" w:hAnsi="Arial" w:cs="Arial"/>
        </w:rPr>
      </w:pPr>
    </w:p>
    <w:p w:rsidR="00654BFC" w:rsidRDefault="008D4399" w:rsidP="00D12073">
      <w:pPr>
        <w:spacing w:line="240" w:lineRule="auto"/>
        <w:rPr>
          <w:rFonts w:ascii="Arial" w:hAnsi="Arial" w:cs="Arial"/>
        </w:rPr>
      </w:pPr>
      <w:r>
        <w:rPr>
          <w:rFonts w:ascii="Arial" w:hAnsi="Arial" w:cs="Arial"/>
        </w:rPr>
        <w:t xml:space="preserve"> </w:t>
      </w:r>
      <w:r w:rsidR="00F20CE5">
        <w:rPr>
          <w:rFonts w:ascii="Arial" w:hAnsi="Arial" w:cs="Arial"/>
        </w:rPr>
        <w:t xml:space="preserve">While the current emphasis on the </w:t>
      </w:r>
      <w:proofErr w:type="spellStart"/>
      <w:r w:rsidR="00F20CE5">
        <w:rPr>
          <w:rFonts w:ascii="Arial" w:hAnsi="Arial" w:cs="Arial"/>
        </w:rPr>
        <w:t>RoNS</w:t>
      </w:r>
      <w:proofErr w:type="spellEnd"/>
      <w:r w:rsidR="00F20CE5">
        <w:rPr>
          <w:rFonts w:ascii="Arial" w:hAnsi="Arial" w:cs="Arial"/>
        </w:rPr>
        <w:t xml:space="preserve"> could be seen as supporting short-term economic development, </w:t>
      </w:r>
      <w:r w:rsidR="00B722EE">
        <w:rPr>
          <w:rFonts w:ascii="Arial" w:hAnsi="Arial" w:cs="Arial"/>
        </w:rPr>
        <w:t xml:space="preserve">it reduces funds available for the other activity classes. A reprioritising of national land transport expenditure is required as New Zealand moves its focus from the short term to longer term issues and objectives. This should include a reduction in funding for the </w:t>
      </w:r>
      <w:proofErr w:type="spellStart"/>
      <w:r w:rsidR="00B722EE">
        <w:rPr>
          <w:rFonts w:ascii="Arial" w:hAnsi="Arial" w:cs="Arial"/>
        </w:rPr>
        <w:t>RoNS</w:t>
      </w:r>
      <w:proofErr w:type="spellEnd"/>
      <w:r w:rsidR="00AB5ADA">
        <w:rPr>
          <w:rFonts w:ascii="Arial" w:hAnsi="Arial" w:cs="Arial"/>
        </w:rPr>
        <w:t xml:space="preserve"> -</w:t>
      </w:r>
      <w:r w:rsidR="00B722EE">
        <w:rPr>
          <w:rFonts w:ascii="Arial" w:hAnsi="Arial" w:cs="Arial"/>
        </w:rPr>
        <w:t xml:space="preserve"> in effect a slowdown in construction</w:t>
      </w:r>
      <w:r w:rsidR="00AB5ADA">
        <w:rPr>
          <w:rFonts w:ascii="Arial" w:hAnsi="Arial" w:cs="Arial"/>
        </w:rPr>
        <w:t xml:space="preserve">. The funds released should be directed towards facilitating the movement of people and freight, particularly in urban areas. </w:t>
      </w:r>
    </w:p>
    <w:p w:rsidR="00654BFC" w:rsidRDefault="00654BFC" w:rsidP="00D12073">
      <w:pPr>
        <w:spacing w:line="240" w:lineRule="auto"/>
        <w:rPr>
          <w:rFonts w:ascii="Arial" w:hAnsi="Arial" w:cs="Arial"/>
        </w:rPr>
      </w:pPr>
    </w:p>
    <w:p w:rsidR="00CD214E" w:rsidRPr="00CA75F8" w:rsidRDefault="00AB5ADA" w:rsidP="00D12073">
      <w:pPr>
        <w:spacing w:line="240" w:lineRule="auto"/>
        <w:rPr>
          <w:rFonts w:ascii="Arial" w:hAnsi="Arial" w:cs="Arial"/>
        </w:rPr>
      </w:pPr>
      <w:r w:rsidRPr="00CA75F8">
        <w:rPr>
          <w:rFonts w:ascii="Arial" w:hAnsi="Arial" w:cs="Arial"/>
        </w:rPr>
        <w:t xml:space="preserve">Among other things there needs to be an increase in funding for public transport services and infrastructure, accompanied by measures to encourage and facilitate walking and cycling for shorter distance travel. </w:t>
      </w:r>
    </w:p>
    <w:p w:rsidR="00CD214E" w:rsidRPr="00CA75F8" w:rsidRDefault="00CD214E" w:rsidP="00D12073">
      <w:pPr>
        <w:spacing w:line="240" w:lineRule="auto"/>
        <w:rPr>
          <w:rFonts w:ascii="Arial" w:hAnsi="Arial" w:cs="Arial"/>
        </w:rPr>
      </w:pPr>
    </w:p>
    <w:p w:rsidR="00CD214E" w:rsidRPr="00CA75F8" w:rsidRDefault="00654BFC" w:rsidP="00D12073">
      <w:pPr>
        <w:spacing w:line="240" w:lineRule="auto"/>
        <w:rPr>
          <w:rFonts w:ascii="Arial" w:hAnsi="Arial" w:cs="Arial"/>
        </w:rPr>
      </w:pPr>
      <w:r w:rsidRPr="00CA75F8">
        <w:rPr>
          <w:rFonts w:ascii="Arial" w:hAnsi="Arial" w:cs="Arial"/>
        </w:rPr>
        <w:t>The main bus routes and many key freight routes are generally located on</w:t>
      </w:r>
      <w:r w:rsidR="00AB5ADA" w:rsidRPr="00CA75F8">
        <w:rPr>
          <w:rFonts w:ascii="Arial" w:hAnsi="Arial" w:cs="Arial"/>
        </w:rPr>
        <w:t xml:space="preserve"> arterial roads</w:t>
      </w:r>
      <w:r w:rsidRPr="00CA75F8">
        <w:rPr>
          <w:rFonts w:ascii="Arial" w:hAnsi="Arial" w:cs="Arial"/>
        </w:rPr>
        <w:t xml:space="preserve"> whose</w:t>
      </w:r>
      <w:r w:rsidR="00AB5ADA" w:rsidRPr="00CA75F8">
        <w:rPr>
          <w:rFonts w:ascii="Arial" w:hAnsi="Arial" w:cs="Arial"/>
        </w:rPr>
        <w:t xml:space="preserve"> funding should be placed on a more level field with state highway</w:t>
      </w:r>
      <w:r w:rsidRPr="00CA75F8">
        <w:rPr>
          <w:rFonts w:ascii="Arial" w:hAnsi="Arial" w:cs="Arial"/>
        </w:rPr>
        <w:t>s.</w:t>
      </w:r>
      <w:r w:rsidR="00B722EE" w:rsidRPr="00CA75F8">
        <w:rPr>
          <w:rFonts w:ascii="Arial" w:hAnsi="Arial" w:cs="Arial"/>
        </w:rPr>
        <w:t xml:space="preserve"> </w:t>
      </w:r>
    </w:p>
    <w:p w:rsidR="00CD214E" w:rsidRPr="00CA75F8" w:rsidRDefault="00CD214E" w:rsidP="00D12073">
      <w:pPr>
        <w:spacing w:line="240" w:lineRule="auto"/>
        <w:rPr>
          <w:rFonts w:ascii="Arial" w:hAnsi="Arial" w:cs="Arial"/>
        </w:rPr>
      </w:pPr>
    </w:p>
    <w:p w:rsidR="003721DB" w:rsidRPr="00CA75F8" w:rsidRDefault="00654BFC" w:rsidP="00D12073">
      <w:pPr>
        <w:spacing w:line="240" w:lineRule="auto"/>
        <w:rPr>
          <w:rFonts w:ascii="Arial" w:hAnsi="Arial" w:cs="Arial"/>
        </w:rPr>
      </w:pPr>
      <w:r w:rsidRPr="00CA75F8">
        <w:rPr>
          <w:rFonts w:ascii="Arial" w:hAnsi="Arial" w:cs="Arial"/>
        </w:rPr>
        <w:t>Measures which reduce travel distances or the need to travel at all should be</w:t>
      </w:r>
      <w:r w:rsidR="004D6413" w:rsidRPr="00CA75F8">
        <w:rPr>
          <w:rFonts w:ascii="Arial" w:hAnsi="Arial" w:cs="Arial"/>
        </w:rPr>
        <w:t xml:space="preserve"> actively</w:t>
      </w:r>
      <w:r w:rsidRPr="00CA75F8">
        <w:rPr>
          <w:rFonts w:ascii="Arial" w:hAnsi="Arial" w:cs="Arial"/>
        </w:rPr>
        <w:t xml:space="preserve"> </w:t>
      </w:r>
      <w:r w:rsidR="004D6413" w:rsidRPr="00CA75F8">
        <w:rPr>
          <w:rFonts w:ascii="Arial" w:hAnsi="Arial" w:cs="Arial"/>
        </w:rPr>
        <w:t>supported</w:t>
      </w:r>
      <w:r w:rsidRPr="00CA75F8">
        <w:rPr>
          <w:rFonts w:ascii="Arial" w:hAnsi="Arial" w:cs="Arial"/>
        </w:rPr>
        <w:t xml:space="preserve">.  </w:t>
      </w:r>
    </w:p>
    <w:p w:rsidR="00654BFC" w:rsidRPr="00234B59" w:rsidRDefault="00654BFC" w:rsidP="00201876">
      <w:pPr>
        <w:rPr>
          <w:rFonts w:ascii="Arial" w:hAnsi="Arial" w:cs="Arial"/>
        </w:rPr>
      </w:pPr>
    </w:p>
    <w:p w:rsidR="00234B59" w:rsidRPr="009F76A2" w:rsidRDefault="00234B59" w:rsidP="00201876">
      <w:pPr>
        <w:rPr>
          <w:rFonts w:ascii="Arial" w:hAnsi="Arial" w:cs="Arial"/>
          <w:b/>
          <w:i/>
        </w:rPr>
      </w:pPr>
      <w:r w:rsidRPr="009F76A2">
        <w:rPr>
          <w:rFonts w:ascii="Arial" w:hAnsi="Arial" w:cs="Arial"/>
          <w:b/>
          <w:i/>
        </w:rPr>
        <w:t>Bus Priority Measures</w:t>
      </w:r>
    </w:p>
    <w:p w:rsidR="009F76A2" w:rsidRDefault="00234B59" w:rsidP="00201876">
      <w:pPr>
        <w:rPr>
          <w:rFonts w:ascii="Arial" w:hAnsi="Arial" w:cs="Arial"/>
        </w:rPr>
      </w:pPr>
      <w:r>
        <w:rPr>
          <w:rFonts w:ascii="Arial" w:hAnsi="Arial" w:cs="Arial"/>
        </w:rPr>
        <w:t>The momentum for introducing bus priority measures</w:t>
      </w:r>
      <w:r w:rsidR="009F76A2">
        <w:rPr>
          <w:rFonts w:ascii="Arial" w:hAnsi="Arial" w:cs="Arial"/>
        </w:rPr>
        <w:t xml:space="preserve"> in the Auckland region</w:t>
      </w:r>
      <w:r>
        <w:rPr>
          <w:rFonts w:ascii="Arial" w:hAnsi="Arial" w:cs="Arial"/>
        </w:rPr>
        <w:t xml:space="preserve"> has slowed in recent years. Part of the explanation is that the relatively straightforward schemes which required the removal of on-street parking in peak periods or minor intersection adjustments have been largely implemented. Future priority </w:t>
      </w:r>
      <w:r w:rsidR="009F76A2">
        <w:rPr>
          <w:rFonts w:ascii="Arial" w:hAnsi="Arial" w:cs="Arial"/>
        </w:rPr>
        <w:t>measures</w:t>
      </w:r>
      <w:r>
        <w:rPr>
          <w:rFonts w:ascii="Arial" w:hAnsi="Arial" w:cs="Arial"/>
        </w:rPr>
        <w:t xml:space="preserve"> will increasingly require the reduction in capacity for non-priority users, which can raise strong objections from those disadvantaged. </w:t>
      </w:r>
    </w:p>
    <w:p w:rsidR="009F76A2" w:rsidRDefault="009F76A2" w:rsidP="00201876">
      <w:pPr>
        <w:rPr>
          <w:rFonts w:ascii="Arial" w:hAnsi="Arial" w:cs="Arial"/>
        </w:rPr>
      </w:pPr>
    </w:p>
    <w:p w:rsidR="00234B59" w:rsidRDefault="00234B59" w:rsidP="00201876">
      <w:pPr>
        <w:rPr>
          <w:rFonts w:ascii="Arial" w:hAnsi="Arial" w:cs="Arial"/>
        </w:rPr>
      </w:pPr>
      <w:r w:rsidRPr="00CA75F8">
        <w:rPr>
          <w:rFonts w:ascii="Arial" w:hAnsi="Arial" w:cs="Arial"/>
        </w:rPr>
        <w:t xml:space="preserve">To assist in overcoming </w:t>
      </w:r>
      <w:r w:rsidR="00F31816" w:rsidRPr="00CA75F8">
        <w:rPr>
          <w:rFonts w:ascii="Arial" w:hAnsi="Arial" w:cs="Arial"/>
        </w:rPr>
        <w:t>objections from</w:t>
      </w:r>
      <w:r w:rsidR="005B2DA9" w:rsidRPr="00CA75F8">
        <w:rPr>
          <w:rFonts w:ascii="Arial" w:hAnsi="Arial" w:cs="Arial"/>
        </w:rPr>
        <w:t xml:space="preserve"> other</w:t>
      </w:r>
      <w:r w:rsidR="00F31816" w:rsidRPr="00CA75F8">
        <w:rPr>
          <w:rFonts w:ascii="Arial" w:hAnsi="Arial" w:cs="Arial"/>
        </w:rPr>
        <w:t xml:space="preserve"> road users</w:t>
      </w:r>
      <w:r w:rsidRPr="00CA75F8">
        <w:rPr>
          <w:rFonts w:ascii="Arial" w:hAnsi="Arial" w:cs="Arial"/>
        </w:rPr>
        <w:t>, Auckland Council</w:t>
      </w:r>
      <w:r w:rsidR="00341067" w:rsidRPr="00CA75F8">
        <w:rPr>
          <w:rFonts w:ascii="Arial" w:hAnsi="Arial" w:cs="Arial"/>
        </w:rPr>
        <w:t xml:space="preserve"> (and other Councils)</w:t>
      </w:r>
      <w:r w:rsidRPr="00CA75F8">
        <w:rPr>
          <w:rFonts w:ascii="Arial" w:hAnsi="Arial" w:cs="Arial"/>
        </w:rPr>
        <w:t xml:space="preserve"> and Auckland </w:t>
      </w:r>
      <w:r w:rsidR="009F76A2" w:rsidRPr="00CA75F8">
        <w:rPr>
          <w:rFonts w:ascii="Arial" w:hAnsi="Arial" w:cs="Arial"/>
        </w:rPr>
        <w:t>T</w:t>
      </w:r>
      <w:r w:rsidRPr="00CA75F8">
        <w:rPr>
          <w:rFonts w:ascii="Arial" w:hAnsi="Arial" w:cs="Arial"/>
        </w:rPr>
        <w:t>ransport</w:t>
      </w:r>
      <w:r w:rsidR="00341067" w:rsidRPr="00CA75F8">
        <w:rPr>
          <w:rFonts w:ascii="Arial" w:hAnsi="Arial" w:cs="Arial"/>
        </w:rPr>
        <w:t xml:space="preserve"> </w:t>
      </w:r>
      <w:r w:rsidR="00E151AC" w:rsidRPr="00CA75F8">
        <w:rPr>
          <w:rFonts w:ascii="Arial" w:hAnsi="Arial" w:cs="Arial"/>
        </w:rPr>
        <w:t>should</w:t>
      </w:r>
      <w:r w:rsidRPr="00CA75F8">
        <w:rPr>
          <w:rFonts w:ascii="Arial" w:hAnsi="Arial" w:cs="Arial"/>
        </w:rPr>
        <w:t xml:space="preserve"> </w:t>
      </w:r>
      <w:r w:rsidR="00341067" w:rsidRPr="00CA75F8">
        <w:rPr>
          <w:rFonts w:ascii="Arial" w:hAnsi="Arial" w:cs="Arial"/>
        </w:rPr>
        <w:t xml:space="preserve">clearly </w:t>
      </w:r>
      <w:r w:rsidR="00E151AC" w:rsidRPr="00CA75F8">
        <w:rPr>
          <w:rFonts w:ascii="Arial" w:hAnsi="Arial" w:cs="Arial"/>
        </w:rPr>
        <w:t>identify those</w:t>
      </w:r>
      <w:r w:rsidRPr="00CA75F8">
        <w:rPr>
          <w:rFonts w:ascii="Arial" w:hAnsi="Arial" w:cs="Arial"/>
        </w:rPr>
        <w:t xml:space="preserve"> corridors</w:t>
      </w:r>
      <w:r w:rsidR="00E151AC" w:rsidRPr="00CA75F8">
        <w:rPr>
          <w:rFonts w:ascii="Arial" w:hAnsi="Arial" w:cs="Arial"/>
        </w:rPr>
        <w:t xml:space="preserve"> for which</w:t>
      </w:r>
      <w:r w:rsidRPr="00CA75F8">
        <w:rPr>
          <w:rFonts w:ascii="Arial" w:hAnsi="Arial" w:cs="Arial"/>
        </w:rPr>
        <w:t xml:space="preserve"> road space will be</w:t>
      </w:r>
      <w:r w:rsidR="00E151AC" w:rsidRPr="00CA75F8">
        <w:rPr>
          <w:rFonts w:ascii="Arial" w:hAnsi="Arial" w:cs="Arial"/>
        </w:rPr>
        <w:t xml:space="preserve"> specifically</w:t>
      </w:r>
      <w:r w:rsidRPr="00CA75F8">
        <w:rPr>
          <w:rFonts w:ascii="Arial" w:hAnsi="Arial" w:cs="Arial"/>
        </w:rPr>
        <w:t xml:space="preserve"> prioritised for buses</w:t>
      </w:r>
      <w:r w:rsidR="00341067" w:rsidRPr="00CA75F8">
        <w:rPr>
          <w:rFonts w:ascii="Arial" w:hAnsi="Arial" w:cs="Arial"/>
        </w:rPr>
        <w:t xml:space="preserve"> or</w:t>
      </w:r>
      <w:r w:rsidR="009F76A2" w:rsidRPr="00CA75F8">
        <w:rPr>
          <w:rFonts w:ascii="Arial" w:hAnsi="Arial" w:cs="Arial"/>
        </w:rPr>
        <w:t xml:space="preserve"> high occupancy vehicles, </w:t>
      </w:r>
      <w:r w:rsidR="00E151AC" w:rsidRPr="00CA75F8">
        <w:rPr>
          <w:rFonts w:ascii="Arial" w:hAnsi="Arial" w:cs="Arial"/>
        </w:rPr>
        <w:t xml:space="preserve">and those where </w:t>
      </w:r>
      <w:r w:rsidR="009F76A2" w:rsidRPr="00CA75F8">
        <w:rPr>
          <w:rFonts w:ascii="Arial" w:hAnsi="Arial" w:cs="Arial"/>
        </w:rPr>
        <w:t>freight and/or general traffic movement will be prioritised. Difficult decisions must be made</w:t>
      </w:r>
      <w:r w:rsidR="009F76A2">
        <w:rPr>
          <w:rFonts w:ascii="Arial" w:hAnsi="Arial" w:cs="Arial"/>
        </w:rPr>
        <w:t xml:space="preserve"> and the reasons must be clearly articulated.</w:t>
      </w:r>
    </w:p>
    <w:p w:rsidR="009F76A2" w:rsidRDefault="009F76A2" w:rsidP="00201876">
      <w:pPr>
        <w:rPr>
          <w:rFonts w:ascii="Arial" w:hAnsi="Arial" w:cs="Arial"/>
        </w:rPr>
      </w:pPr>
    </w:p>
    <w:p w:rsidR="009F76A2" w:rsidRPr="009F76A2" w:rsidRDefault="009F76A2" w:rsidP="00201876">
      <w:pPr>
        <w:rPr>
          <w:rFonts w:ascii="Arial" w:hAnsi="Arial" w:cs="Arial"/>
          <w:b/>
          <w:i/>
        </w:rPr>
      </w:pPr>
      <w:r w:rsidRPr="009F76A2">
        <w:rPr>
          <w:rFonts w:ascii="Arial" w:hAnsi="Arial" w:cs="Arial"/>
          <w:b/>
          <w:i/>
        </w:rPr>
        <w:t>Car</w:t>
      </w:r>
      <w:r w:rsidR="006156A4">
        <w:rPr>
          <w:rFonts w:ascii="Arial" w:hAnsi="Arial" w:cs="Arial"/>
          <w:b/>
          <w:i/>
        </w:rPr>
        <w:t xml:space="preserve"> Pools and Car</w:t>
      </w:r>
      <w:r w:rsidRPr="009F76A2">
        <w:rPr>
          <w:rFonts w:ascii="Arial" w:hAnsi="Arial" w:cs="Arial"/>
          <w:b/>
          <w:i/>
        </w:rPr>
        <w:t xml:space="preserve"> Share </w:t>
      </w:r>
      <w:r w:rsidR="006156A4">
        <w:rPr>
          <w:rFonts w:ascii="Arial" w:hAnsi="Arial" w:cs="Arial"/>
          <w:b/>
          <w:i/>
        </w:rPr>
        <w:t>Clubs</w:t>
      </w:r>
    </w:p>
    <w:p w:rsidR="006156A4" w:rsidRDefault="006156A4" w:rsidP="00201876">
      <w:pPr>
        <w:rPr>
          <w:rFonts w:ascii="Arial" w:hAnsi="Arial" w:cs="Arial"/>
        </w:rPr>
      </w:pPr>
      <w:r>
        <w:rPr>
          <w:rFonts w:ascii="Arial" w:hAnsi="Arial" w:cs="Arial"/>
        </w:rPr>
        <w:t>Increased availability of transit priority lanes (T2 or T3 lanes) coupled with on-ramp priority measures can encourage higher vehicle occupancies. Currently, however, such facilities are limited</w:t>
      </w:r>
      <w:r w:rsidR="001B10EC">
        <w:rPr>
          <w:rFonts w:ascii="Arial" w:hAnsi="Arial" w:cs="Arial"/>
        </w:rPr>
        <w:t xml:space="preserve"> which</w:t>
      </w:r>
      <w:r>
        <w:rPr>
          <w:rFonts w:ascii="Arial" w:hAnsi="Arial" w:cs="Arial"/>
        </w:rPr>
        <w:t xml:space="preserve"> reduc</w:t>
      </w:r>
      <w:r w:rsidR="001B10EC">
        <w:rPr>
          <w:rFonts w:ascii="Arial" w:hAnsi="Arial" w:cs="Arial"/>
        </w:rPr>
        <w:t>es</w:t>
      </w:r>
      <w:r>
        <w:rPr>
          <w:rFonts w:ascii="Arial" w:hAnsi="Arial" w:cs="Arial"/>
        </w:rPr>
        <w:t xml:space="preserve"> their attractiveness. A series of such facilities through congested sections along a route would, however, significantly increase their benefits to users and hence be more effective in encouraging higher occupancies. </w:t>
      </w:r>
    </w:p>
    <w:p w:rsidR="006156A4" w:rsidRDefault="006156A4" w:rsidP="00201876">
      <w:pPr>
        <w:rPr>
          <w:rFonts w:ascii="Arial" w:hAnsi="Arial" w:cs="Arial"/>
        </w:rPr>
      </w:pPr>
    </w:p>
    <w:p w:rsidR="006156A4" w:rsidRDefault="006156A4" w:rsidP="00201876">
      <w:pPr>
        <w:rPr>
          <w:rFonts w:ascii="Arial" w:hAnsi="Arial" w:cs="Arial"/>
        </w:rPr>
      </w:pPr>
      <w:r>
        <w:rPr>
          <w:rFonts w:ascii="Arial" w:hAnsi="Arial" w:cs="Arial"/>
        </w:rPr>
        <w:t>Car share clubs are likely to increase in popularity</w:t>
      </w:r>
      <w:r w:rsidR="00AD2082">
        <w:rPr>
          <w:rFonts w:ascii="Arial" w:hAnsi="Arial" w:cs="Arial"/>
        </w:rPr>
        <w:t>, particularly in denser urban areas where a car is unnecessary for many trips, and</w:t>
      </w:r>
      <w:r>
        <w:rPr>
          <w:rFonts w:ascii="Arial" w:hAnsi="Arial" w:cs="Arial"/>
        </w:rPr>
        <w:t xml:space="preserve"> particularly among younger people for whom direct car ownership </w:t>
      </w:r>
      <w:r w:rsidR="001B10EC">
        <w:rPr>
          <w:rFonts w:ascii="Arial" w:hAnsi="Arial" w:cs="Arial"/>
        </w:rPr>
        <w:t>may be</w:t>
      </w:r>
      <w:r>
        <w:rPr>
          <w:rFonts w:ascii="Arial" w:hAnsi="Arial" w:cs="Arial"/>
        </w:rPr>
        <w:t xml:space="preserve"> a lower priority.</w:t>
      </w:r>
      <w:r w:rsidR="001B10EC">
        <w:rPr>
          <w:rFonts w:ascii="Arial" w:hAnsi="Arial" w:cs="Arial"/>
        </w:rPr>
        <w:t xml:space="preserve"> Club members can book a car by the hour or day, online or by mobile phone, and return it to the same reserved spot.</w:t>
      </w:r>
      <w:r>
        <w:rPr>
          <w:rFonts w:ascii="Arial" w:hAnsi="Arial" w:cs="Arial"/>
        </w:rPr>
        <w:t xml:space="preserve"> Incentives</w:t>
      </w:r>
      <w:r w:rsidR="001B10EC">
        <w:rPr>
          <w:rFonts w:ascii="Arial" w:hAnsi="Arial" w:cs="Arial"/>
        </w:rPr>
        <w:t xml:space="preserve"> applying</w:t>
      </w:r>
      <w:r>
        <w:rPr>
          <w:rFonts w:ascii="Arial" w:hAnsi="Arial" w:cs="Arial"/>
        </w:rPr>
        <w:t xml:space="preserve"> to car share clubs can include allocating public parking spaces for their exclusive use</w:t>
      </w:r>
      <w:r w:rsidR="00415DF7">
        <w:rPr>
          <w:rFonts w:ascii="Arial" w:hAnsi="Arial" w:cs="Arial"/>
        </w:rPr>
        <w:t>.</w:t>
      </w:r>
      <w:r>
        <w:rPr>
          <w:rFonts w:ascii="Arial" w:hAnsi="Arial" w:cs="Arial"/>
        </w:rPr>
        <w:t xml:space="preserve"> </w:t>
      </w:r>
      <w:r w:rsidR="00382AA8">
        <w:rPr>
          <w:rFonts w:ascii="Arial" w:hAnsi="Arial" w:cs="Arial"/>
        </w:rPr>
        <w:t>Local authorities can support such schemes through the dedication of parking spaces to car share vehicles.</w:t>
      </w:r>
    </w:p>
    <w:p w:rsidR="00234B59" w:rsidRDefault="006156A4" w:rsidP="00201876">
      <w:pPr>
        <w:rPr>
          <w:rFonts w:ascii="Arial" w:hAnsi="Arial" w:cs="Arial"/>
        </w:rPr>
      </w:pPr>
      <w:r>
        <w:rPr>
          <w:rFonts w:ascii="Arial" w:hAnsi="Arial" w:cs="Arial"/>
        </w:rPr>
        <w:t xml:space="preserve">  </w:t>
      </w:r>
    </w:p>
    <w:p w:rsidR="001B10EC" w:rsidRPr="001B10EC" w:rsidRDefault="00A1466C" w:rsidP="00201876">
      <w:pPr>
        <w:rPr>
          <w:rFonts w:ascii="Arial" w:hAnsi="Arial" w:cs="Arial"/>
          <w:b/>
          <w:i/>
        </w:rPr>
      </w:pPr>
      <w:r>
        <w:rPr>
          <w:rFonts w:ascii="Arial" w:hAnsi="Arial" w:cs="Arial"/>
          <w:b/>
          <w:i/>
        </w:rPr>
        <w:t xml:space="preserve">Interurban </w:t>
      </w:r>
      <w:r w:rsidR="001B10EC" w:rsidRPr="001B10EC">
        <w:rPr>
          <w:rFonts w:ascii="Arial" w:hAnsi="Arial" w:cs="Arial"/>
          <w:b/>
          <w:i/>
        </w:rPr>
        <w:t>Freight Movement</w:t>
      </w:r>
    </w:p>
    <w:p w:rsidR="001B10EC" w:rsidRDefault="00A1466C" w:rsidP="00201876">
      <w:pPr>
        <w:rPr>
          <w:rFonts w:ascii="Arial" w:hAnsi="Arial" w:cs="Arial"/>
        </w:rPr>
      </w:pPr>
      <w:r>
        <w:rPr>
          <w:rFonts w:ascii="Arial" w:hAnsi="Arial" w:cs="Arial"/>
        </w:rPr>
        <w:t xml:space="preserve">The electrification of the rail lines linking </w:t>
      </w:r>
      <w:proofErr w:type="spellStart"/>
      <w:r>
        <w:rPr>
          <w:rFonts w:ascii="Arial" w:hAnsi="Arial" w:cs="Arial"/>
        </w:rPr>
        <w:t>Tauranga</w:t>
      </w:r>
      <w:proofErr w:type="spellEnd"/>
      <w:r>
        <w:rPr>
          <w:rFonts w:ascii="Arial" w:hAnsi="Arial" w:cs="Arial"/>
        </w:rPr>
        <w:t>, Hamilton and Auckland would reduce GHG emissions, reduce reliance on diesel, and encourage more use of rail for freight movement.</w:t>
      </w:r>
    </w:p>
    <w:p w:rsidR="001B10EC" w:rsidRDefault="001B10EC" w:rsidP="00201876">
      <w:pPr>
        <w:rPr>
          <w:rFonts w:ascii="Arial" w:hAnsi="Arial" w:cs="Arial"/>
        </w:rPr>
      </w:pPr>
    </w:p>
    <w:p w:rsidR="006237B9" w:rsidRPr="006237B9" w:rsidRDefault="006237B9" w:rsidP="00201876">
      <w:pPr>
        <w:rPr>
          <w:rFonts w:ascii="Arial" w:hAnsi="Arial" w:cs="Arial"/>
          <w:b/>
          <w:i/>
          <w:sz w:val="24"/>
          <w:szCs w:val="24"/>
        </w:rPr>
      </w:pPr>
      <w:r w:rsidRPr="006237B9">
        <w:rPr>
          <w:rFonts w:ascii="Arial" w:hAnsi="Arial" w:cs="Arial"/>
          <w:b/>
          <w:i/>
          <w:sz w:val="24"/>
          <w:szCs w:val="24"/>
        </w:rPr>
        <w:t>Walking &amp; Cycling</w:t>
      </w:r>
    </w:p>
    <w:p w:rsidR="00AD3AA8" w:rsidRDefault="006237B9" w:rsidP="00201876">
      <w:pPr>
        <w:rPr>
          <w:rFonts w:ascii="Arial" w:hAnsi="Arial" w:cs="Arial"/>
        </w:rPr>
      </w:pPr>
      <w:r>
        <w:rPr>
          <w:rFonts w:ascii="Arial" w:hAnsi="Arial" w:cs="Arial"/>
        </w:rPr>
        <w:t>The walking mode share can be increased by providing</w:t>
      </w:r>
      <w:r w:rsidR="00AD3AA8" w:rsidRPr="00AD3AA8">
        <w:rPr>
          <w:rFonts w:ascii="Arial" w:hAnsi="Arial" w:cs="Arial"/>
        </w:rPr>
        <w:t xml:space="preserve"> </w:t>
      </w:r>
      <w:r w:rsidR="00AD3AA8">
        <w:rPr>
          <w:rFonts w:ascii="Arial" w:hAnsi="Arial" w:cs="Arial"/>
        </w:rPr>
        <w:t>attractive, direct and safe pedestrian routes,</w:t>
      </w:r>
      <w:r w:rsidR="00AD3AA8" w:rsidRPr="00AD3AA8">
        <w:rPr>
          <w:rFonts w:ascii="Arial" w:hAnsi="Arial" w:cs="Arial"/>
        </w:rPr>
        <w:t xml:space="preserve"> </w:t>
      </w:r>
      <w:r w:rsidR="00AD3AA8">
        <w:rPr>
          <w:rFonts w:ascii="Arial" w:hAnsi="Arial" w:cs="Arial"/>
        </w:rPr>
        <w:t>including access routes to public transport; providing</w:t>
      </w:r>
      <w:r>
        <w:rPr>
          <w:rFonts w:ascii="Arial" w:hAnsi="Arial" w:cs="Arial"/>
        </w:rPr>
        <w:t xml:space="preserve"> more and safer pedestrian crossing facilities;</w:t>
      </w:r>
      <w:r w:rsidR="00AD3AA8">
        <w:rPr>
          <w:rFonts w:ascii="Arial" w:hAnsi="Arial" w:cs="Arial"/>
        </w:rPr>
        <w:t xml:space="preserve"> and</w:t>
      </w:r>
      <w:r>
        <w:rPr>
          <w:rFonts w:ascii="Arial" w:hAnsi="Arial" w:cs="Arial"/>
        </w:rPr>
        <w:t xml:space="preserve"> reducing vehicle speeds in residential areas and town centres. The cycling mode share can be increased by </w:t>
      </w:r>
      <w:r w:rsidR="00AD3AA8">
        <w:rPr>
          <w:rFonts w:ascii="Arial" w:hAnsi="Arial" w:cs="Arial"/>
        </w:rPr>
        <w:t>providing an extensive system of safe, convenient and</w:t>
      </w:r>
      <w:r>
        <w:rPr>
          <w:rFonts w:ascii="Arial" w:hAnsi="Arial" w:cs="Arial"/>
        </w:rPr>
        <w:t xml:space="preserve"> continuous routes;</w:t>
      </w:r>
      <w:r w:rsidR="00AD3AA8">
        <w:rPr>
          <w:rFonts w:ascii="Arial" w:hAnsi="Arial" w:cs="Arial"/>
        </w:rPr>
        <w:t xml:space="preserve"> modifying intersections and giving cyclists more priority at traffic signals;</w:t>
      </w:r>
      <w:r>
        <w:rPr>
          <w:rFonts w:ascii="Arial" w:hAnsi="Arial" w:cs="Arial"/>
        </w:rPr>
        <w:t xml:space="preserve"> </w:t>
      </w:r>
      <w:r w:rsidR="00AD3AA8">
        <w:rPr>
          <w:rFonts w:ascii="Arial" w:hAnsi="Arial" w:cs="Arial"/>
        </w:rPr>
        <w:t xml:space="preserve">reducing traffic speeds where appropriate; </w:t>
      </w:r>
      <w:r>
        <w:rPr>
          <w:rFonts w:ascii="Arial" w:hAnsi="Arial" w:cs="Arial"/>
        </w:rPr>
        <w:t>and improving end of trip facilities including bicycle parking.</w:t>
      </w:r>
      <w:r w:rsidR="00FB6191">
        <w:rPr>
          <w:rFonts w:ascii="Arial" w:hAnsi="Arial" w:cs="Arial"/>
        </w:rPr>
        <w:t xml:space="preserve"> </w:t>
      </w:r>
    </w:p>
    <w:p w:rsidR="00AD3AA8" w:rsidRDefault="00AD3AA8" w:rsidP="00201876">
      <w:pPr>
        <w:rPr>
          <w:rFonts w:ascii="Arial" w:hAnsi="Arial" w:cs="Arial"/>
        </w:rPr>
      </w:pPr>
    </w:p>
    <w:p w:rsidR="006237B9" w:rsidRDefault="006237B9" w:rsidP="00201876">
      <w:pPr>
        <w:rPr>
          <w:rFonts w:ascii="Arial" w:hAnsi="Arial" w:cs="Arial"/>
        </w:rPr>
      </w:pPr>
      <w:r>
        <w:rPr>
          <w:rFonts w:ascii="Arial" w:hAnsi="Arial" w:cs="Arial"/>
        </w:rPr>
        <w:t>The share of national land transport fund allocated to these ‘active’ modes should be increased i</w:t>
      </w:r>
      <w:r w:rsidR="00FB6191">
        <w:rPr>
          <w:rFonts w:ascii="Arial" w:hAnsi="Arial" w:cs="Arial"/>
        </w:rPr>
        <w:t>n recognition of their contributions to GHG reductions and sustainability.</w:t>
      </w:r>
      <w:r>
        <w:rPr>
          <w:rFonts w:ascii="Arial" w:hAnsi="Arial" w:cs="Arial"/>
        </w:rPr>
        <w:t xml:space="preserve"> </w:t>
      </w:r>
    </w:p>
    <w:p w:rsidR="006237B9" w:rsidRDefault="006237B9" w:rsidP="00201876">
      <w:pPr>
        <w:rPr>
          <w:rFonts w:ascii="Arial" w:hAnsi="Arial" w:cs="Arial"/>
        </w:rPr>
      </w:pPr>
    </w:p>
    <w:p w:rsidR="00201876" w:rsidRPr="005778F4" w:rsidRDefault="00BE37D2" w:rsidP="00201876">
      <w:pPr>
        <w:rPr>
          <w:rFonts w:ascii="Arial" w:hAnsi="Arial" w:cs="Arial"/>
          <w:b/>
          <w:sz w:val="24"/>
          <w:szCs w:val="24"/>
        </w:rPr>
      </w:pPr>
      <w:r>
        <w:rPr>
          <w:rFonts w:ascii="Arial" w:hAnsi="Arial" w:cs="Arial"/>
          <w:b/>
          <w:sz w:val="24"/>
          <w:szCs w:val="24"/>
        </w:rPr>
        <w:t>4.4</w:t>
      </w:r>
      <w:r>
        <w:rPr>
          <w:rFonts w:ascii="Arial" w:hAnsi="Arial" w:cs="Arial"/>
          <w:b/>
          <w:sz w:val="24"/>
          <w:szCs w:val="24"/>
        </w:rPr>
        <w:tab/>
      </w:r>
      <w:r w:rsidR="00654BFC" w:rsidRPr="005778F4">
        <w:rPr>
          <w:rFonts w:ascii="Arial" w:hAnsi="Arial" w:cs="Arial"/>
          <w:b/>
          <w:sz w:val="24"/>
          <w:szCs w:val="24"/>
        </w:rPr>
        <w:t>Strategic Planning</w:t>
      </w:r>
      <w:r w:rsidR="004C5F60" w:rsidRPr="005778F4">
        <w:rPr>
          <w:rFonts w:ascii="Arial" w:hAnsi="Arial" w:cs="Arial"/>
          <w:b/>
          <w:sz w:val="24"/>
          <w:szCs w:val="24"/>
        </w:rPr>
        <w:tab/>
        <w:t xml:space="preserve"> </w:t>
      </w:r>
      <w:r w:rsidR="00DC3818" w:rsidRPr="005778F4">
        <w:rPr>
          <w:rFonts w:ascii="Arial" w:hAnsi="Arial" w:cs="Arial"/>
          <w:b/>
          <w:sz w:val="24"/>
          <w:szCs w:val="24"/>
        </w:rPr>
        <w:t xml:space="preserve"> </w:t>
      </w:r>
    </w:p>
    <w:p w:rsidR="006543BF" w:rsidRDefault="002C5F25" w:rsidP="00C45B18">
      <w:pPr>
        <w:rPr>
          <w:rFonts w:ascii="Arial" w:hAnsi="Arial" w:cs="Arial"/>
        </w:rPr>
      </w:pPr>
      <w:r>
        <w:rPr>
          <w:rFonts w:ascii="Arial" w:hAnsi="Arial" w:cs="Arial"/>
        </w:rPr>
        <w:t>The Auckland</w:t>
      </w:r>
      <w:r w:rsidR="00CD5901">
        <w:rPr>
          <w:rFonts w:ascii="Arial" w:hAnsi="Arial" w:cs="Arial"/>
        </w:rPr>
        <w:t xml:space="preserve"> Transport’s </w:t>
      </w:r>
      <w:r>
        <w:rPr>
          <w:rFonts w:ascii="Arial" w:hAnsi="Arial" w:cs="Arial"/>
        </w:rPr>
        <w:t>Integrated Transport Programme 2012-41</w:t>
      </w:r>
      <w:r w:rsidR="00CD5901">
        <w:rPr>
          <w:rFonts w:ascii="Arial" w:hAnsi="Arial" w:cs="Arial"/>
        </w:rPr>
        <w:t xml:space="preserve"> </w:t>
      </w:r>
      <w:r>
        <w:rPr>
          <w:rFonts w:ascii="Arial" w:hAnsi="Arial" w:cs="Arial"/>
        </w:rPr>
        <w:t>is a 30-year investment programme to meet the transport priorities outlined in the Auckland Plan. The land use scenario</w:t>
      </w:r>
      <w:r w:rsidR="006543BF">
        <w:rPr>
          <w:rFonts w:ascii="Arial" w:hAnsi="Arial" w:cs="Arial"/>
        </w:rPr>
        <w:t>s assume a population</w:t>
      </w:r>
      <w:r w:rsidR="004474A4">
        <w:rPr>
          <w:rFonts w:ascii="Arial" w:hAnsi="Arial" w:cs="Arial"/>
        </w:rPr>
        <w:t xml:space="preserve"> increase </w:t>
      </w:r>
      <w:r w:rsidR="00174B8C">
        <w:rPr>
          <w:rFonts w:ascii="Arial" w:hAnsi="Arial" w:cs="Arial"/>
        </w:rPr>
        <w:t>from 1.5 million to 2.5</w:t>
      </w:r>
      <w:r w:rsidR="006543BF">
        <w:rPr>
          <w:rFonts w:ascii="Arial" w:hAnsi="Arial" w:cs="Arial"/>
        </w:rPr>
        <w:t xml:space="preserve"> million</w:t>
      </w:r>
      <w:r w:rsidR="004474A4">
        <w:rPr>
          <w:rFonts w:ascii="Arial" w:hAnsi="Arial" w:cs="Arial"/>
        </w:rPr>
        <w:t xml:space="preserve"> by 2041</w:t>
      </w:r>
      <w:r w:rsidR="006543BF">
        <w:rPr>
          <w:rFonts w:ascii="Arial" w:hAnsi="Arial" w:cs="Arial"/>
        </w:rPr>
        <w:t>. The ‘fully funded’ total transport investment amounts to a total of $60 billion. Despite this investment congestion</w:t>
      </w:r>
      <w:r w:rsidR="00AD2082">
        <w:rPr>
          <w:rFonts w:ascii="Arial" w:hAnsi="Arial" w:cs="Arial"/>
        </w:rPr>
        <w:t xml:space="preserve"> is expected to</w:t>
      </w:r>
      <w:r w:rsidR="006543BF">
        <w:rPr>
          <w:rFonts w:ascii="Arial" w:hAnsi="Arial" w:cs="Arial"/>
        </w:rPr>
        <w:t xml:space="preserve"> worsen. </w:t>
      </w:r>
      <w:proofErr w:type="gramStart"/>
      <w:r w:rsidR="006543BF">
        <w:rPr>
          <w:rFonts w:ascii="Arial" w:hAnsi="Arial" w:cs="Arial"/>
        </w:rPr>
        <w:t>The proportion of the strategic freight network operating at level of service E or F increases from 12.0% to 27.1% in the AM peak period</w:t>
      </w:r>
      <w:r w:rsidR="004474A4">
        <w:rPr>
          <w:rFonts w:ascii="Arial" w:hAnsi="Arial" w:cs="Arial"/>
        </w:rPr>
        <w:t>,</w:t>
      </w:r>
      <w:r w:rsidR="006543BF">
        <w:rPr>
          <w:rFonts w:ascii="Arial" w:hAnsi="Arial" w:cs="Arial"/>
        </w:rPr>
        <w:t xml:space="preserve"> and from 5.8% to 28.4% </w:t>
      </w:r>
      <w:proofErr w:type="spellStart"/>
      <w:r w:rsidR="006543BF">
        <w:rPr>
          <w:rFonts w:ascii="Arial" w:hAnsi="Arial" w:cs="Arial"/>
        </w:rPr>
        <w:t>interpeak</w:t>
      </w:r>
      <w:proofErr w:type="spellEnd"/>
      <w:r w:rsidR="006543BF">
        <w:rPr>
          <w:rFonts w:ascii="Arial" w:hAnsi="Arial" w:cs="Arial"/>
        </w:rPr>
        <w:t>.</w:t>
      </w:r>
      <w:proofErr w:type="gramEnd"/>
      <w:r w:rsidR="006543BF">
        <w:rPr>
          <w:rFonts w:ascii="Arial" w:hAnsi="Arial" w:cs="Arial"/>
        </w:rPr>
        <w:t xml:space="preserve"> GHG emissions increase by 17%. Vehicle travel distance</w:t>
      </w:r>
      <w:r w:rsidR="0029378B">
        <w:rPr>
          <w:rFonts w:ascii="Arial" w:hAnsi="Arial" w:cs="Arial"/>
        </w:rPr>
        <w:t xml:space="preserve"> by private transport</w:t>
      </w:r>
      <w:r w:rsidR="006543BF">
        <w:rPr>
          <w:rFonts w:ascii="Arial" w:hAnsi="Arial" w:cs="Arial"/>
        </w:rPr>
        <w:t xml:space="preserve"> per person</w:t>
      </w:r>
      <w:r w:rsidR="0029378B">
        <w:rPr>
          <w:rFonts w:ascii="Arial" w:hAnsi="Arial" w:cs="Arial"/>
        </w:rPr>
        <w:t xml:space="preserve"> (VKT per person)</w:t>
      </w:r>
      <w:r w:rsidR="006543BF">
        <w:rPr>
          <w:rFonts w:ascii="Arial" w:hAnsi="Arial" w:cs="Arial"/>
        </w:rPr>
        <w:t xml:space="preserve"> is not included in the criteria, but </w:t>
      </w:r>
      <w:r w:rsidR="004474A4">
        <w:rPr>
          <w:rFonts w:ascii="Arial" w:hAnsi="Arial" w:cs="Arial"/>
        </w:rPr>
        <w:t>a quick calculation shows that it is virtually the same in 2041 as today</w:t>
      </w:r>
      <w:r w:rsidR="0029378B">
        <w:rPr>
          <w:rFonts w:ascii="Arial" w:hAnsi="Arial" w:cs="Arial"/>
        </w:rPr>
        <w:t xml:space="preserve"> (both modelled total private vehicle travel distance and population increase by 67-68%)</w:t>
      </w:r>
      <w:r w:rsidR="004474A4">
        <w:rPr>
          <w:rFonts w:ascii="Arial" w:hAnsi="Arial" w:cs="Arial"/>
        </w:rPr>
        <w:t>.</w:t>
      </w:r>
    </w:p>
    <w:p w:rsidR="0029378B" w:rsidRDefault="0029378B" w:rsidP="00C45B18">
      <w:pPr>
        <w:rPr>
          <w:rFonts w:ascii="Arial" w:hAnsi="Arial" w:cs="Arial"/>
        </w:rPr>
      </w:pPr>
    </w:p>
    <w:p w:rsidR="0029378B" w:rsidRDefault="0029378B" w:rsidP="0029378B">
      <w:pPr>
        <w:rPr>
          <w:rFonts w:ascii="Arial" w:hAnsi="Arial" w:cs="Arial"/>
        </w:rPr>
      </w:pPr>
      <w:r>
        <w:rPr>
          <w:rFonts w:ascii="Arial" w:hAnsi="Arial" w:cs="Arial"/>
        </w:rPr>
        <w:t>On the subject of VKT and urban form, a recent World Bank publication points out that “.....urban form plays a key role in determining transport mode choice – many studies have shown that vehicle dependence and transport energy consumption per capita are far higher for low-density suburban neighbourhoods”. “The population density-VKT relationship can be weakened according to the type of land-use policies in place, such as zoning for mixed use, raising density maximums, and eliminating minimum parking regulations. From a transport perspective, urban sprawl has a number of negative effects, apart from increasing VKT. It also makes it more difficult to develop financially viable mass transit systems.”</w:t>
      </w:r>
    </w:p>
    <w:p w:rsidR="0029378B" w:rsidRDefault="0029378B" w:rsidP="0029378B">
      <w:pPr>
        <w:rPr>
          <w:rFonts w:ascii="Arial" w:hAnsi="Arial" w:cs="Arial"/>
        </w:rPr>
      </w:pPr>
    </w:p>
    <w:p w:rsidR="0029378B" w:rsidRDefault="0029378B" w:rsidP="0029378B">
      <w:pPr>
        <w:rPr>
          <w:rFonts w:ascii="Arial" w:hAnsi="Arial" w:cs="Arial"/>
        </w:rPr>
      </w:pPr>
      <w:r>
        <w:rPr>
          <w:rFonts w:ascii="Arial" w:hAnsi="Arial" w:cs="Arial"/>
        </w:rPr>
        <w:t xml:space="preserve">The Auckland Plan’s focus on land use intensification is entirely appropriate. However, the finding that VKT per person </w:t>
      </w:r>
      <w:r w:rsidR="004A5B29">
        <w:rPr>
          <w:rFonts w:ascii="Arial" w:hAnsi="Arial" w:cs="Arial"/>
        </w:rPr>
        <w:t>remains</w:t>
      </w:r>
      <w:r>
        <w:rPr>
          <w:rFonts w:ascii="Arial" w:hAnsi="Arial" w:cs="Arial"/>
        </w:rPr>
        <w:t xml:space="preserve"> unchanged from today indicates that little real progress is made towards </w:t>
      </w:r>
      <w:r w:rsidRPr="0029378B">
        <w:rPr>
          <w:rFonts w:ascii="Arial" w:hAnsi="Arial" w:cs="Arial"/>
          <w:u w:val="single"/>
        </w:rPr>
        <w:t>reducing</w:t>
      </w:r>
      <w:r>
        <w:rPr>
          <w:rFonts w:ascii="Arial" w:hAnsi="Arial" w:cs="Arial"/>
        </w:rPr>
        <w:t xml:space="preserve"> the transport effects of sprawl. In addition, it means that many people would be very exposed to any sharp increases in future transport fuel costs. </w:t>
      </w:r>
    </w:p>
    <w:p w:rsidR="0029378B" w:rsidRDefault="0029378B" w:rsidP="00C45B18">
      <w:pPr>
        <w:rPr>
          <w:rFonts w:ascii="Arial" w:hAnsi="Arial" w:cs="Arial"/>
        </w:rPr>
      </w:pPr>
    </w:p>
    <w:p w:rsidR="00F241AB" w:rsidRDefault="00924938" w:rsidP="00C45B18">
      <w:pPr>
        <w:rPr>
          <w:rFonts w:ascii="Arial" w:hAnsi="Arial" w:cs="Arial"/>
        </w:rPr>
      </w:pPr>
      <w:r>
        <w:rPr>
          <w:rFonts w:ascii="Arial" w:hAnsi="Arial" w:cs="Arial"/>
        </w:rPr>
        <w:t xml:space="preserve">By 2041 climate change may be a far greater issue than it is </w:t>
      </w:r>
      <w:r w:rsidR="00FF4A1A">
        <w:rPr>
          <w:rFonts w:ascii="Arial" w:hAnsi="Arial" w:cs="Arial"/>
        </w:rPr>
        <w:t>currently</w:t>
      </w:r>
      <w:r>
        <w:rPr>
          <w:rFonts w:ascii="Arial" w:hAnsi="Arial" w:cs="Arial"/>
        </w:rPr>
        <w:t>, yet Auckland’s transport system may be generating significantly more greenhouse gas emissions</w:t>
      </w:r>
      <w:r w:rsidR="00313B85">
        <w:rPr>
          <w:rFonts w:ascii="Arial" w:hAnsi="Arial" w:cs="Arial"/>
        </w:rPr>
        <w:t>.</w:t>
      </w:r>
    </w:p>
    <w:p w:rsidR="00313B85" w:rsidRDefault="00313B85" w:rsidP="00C45B18">
      <w:pPr>
        <w:rPr>
          <w:rFonts w:ascii="Arial" w:hAnsi="Arial" w:cs="Arial"/>
        </w:rPr>
      </w:pPr>
    </w:p>
    <w:p w:rsidR="00567F7F" w:rsidRPr="00CC15A3" w:rsidRDefault="00567F7F" w:rsidP="00C45B18">
      <w:pPr>
        <w:rPr>
          <w:rFonts w:ascii="Arial" w:hAnsi="Arial" w:cs="Arial"/>
          <w:b/>
          <w:i/>
        </w:rPr>
      </w:pPr>
      <w:r w:rsidRPr="00CC15A3">
        <w:rPr>
          <w:rFonts w:ascii="Arial" w:hAnsi="Arial" w:cs="Arial"/>
          <w:b/>
          <w:i/>
        </w:rPr>
        <w:t xml:space="preserve">Suggested </w:t>
      </w:r>
      <w:r w:rsidR="000D31B6" w:rsidRPr="00CC15A3">
        <w:rPr>
          <w:rFonts w:ascii="Arial" w:hAnsi="Arial" w:cs="Arial"/>
          <w:b/>
          <w:i/>
        </w:rPr>
        <w:t xml:space="preserve">Strategic Planning </w:t>
      </w:r>
      <w:r w:rsidRPr="00CC15A3">
        <w:rPr>
          <w:rFonts w:ascii="Arial" w:hAnsi="Arial" w:cs="Arial"/>
          <w:b/>
          <w:i/>
        </w:rPr>
        <w:t>Changes</w:t>
      </w:r>
      <w:r w:rsidR="00AD2082" w:rsidRPr="00CC15A3">
        <w:rPr>
          <w:rFonts w:ascii="Arial" w:hAnsi="Arial" w:cs="Arial"/>
          <w:b/>
          <w:i/>
        </w:rPr>
        <w:t xml:space="preserve"> for major urban areas</w:t>
      </w:r>
    </w:p>
    <w:p w:rsidR="005810E3" w:rsidRPr="00CA75F8" w:rsidRDefault="005810E3" w:rsidP="0029378B">
      <w:pPr>
        <w:pStyle w:val="ListParagraph"/>
        <w:numPr>
          <w:ilvl w:val="0"/>
          <w:numId w:val="13"/>
        </w:numPr>
        <w:rPr>
          <w:rFonts w:ascii="Arial" w:hAnsi="Arial" w:cs="Arial"/>
        </w:rPr>
      </w:pPr>
      <w:r w:rsidRPr="00CA75F8">
        <w:rPr>
          <w:rFonts w:ascii="Arial" w:hAnsi="Arial" w:cs="Arial"/>
        </w:rPr>
        <w:t>Include a</w:t>
      </w:r>
      <w:r w:rsidR="0029378B" w:rsidRPr="00CA75F8">
        <w:rPr>
          <w:rFonts w:ascii="Arial" w:hAnsi="Arial" w:cs="Arial"/>
        </w:rPr>
        <w:t xml:space="preserve"> target for the reduction in vehicle travel distance per person as a key </w:t>
      </w:r>
      <w:r w:rsidRPr="00CA75F8">
        <w:rPr>
          <w:rFonts w:ascii="Arial" w:hAnsi="Arial" w:cs="Arial"/>
        </w:rPr>
        <w:t>measure.</w:t>
      </w:r>
    </w:p>
    <w:p w:rsidR="00567F7F" w:rsidRPr="00CA75F8" w:rsidRDefault="000A5E15" w:rsidP="00567F7F">
      <w:pPr>
        <w:pStyle w:val="ListParagraph"/>
        <w:numPr>
          <w:ilvl w:val="0"/>
          <w:numId w:val="13"/>
        </w:numPr>
        <w:rPr>
          <w:rFonts w:ascii="Arial" w:hAnsi="Arial" w:cs="Arial"/>
        </w:rPr>
      </w:pPr>
      <w:r w:rsidRPr="00CA75F8">
        <w:rPr>
          <w:rFonts w:ascii="Arial" w:hAnsi="Arial" w:cs="Arial"/>
        </w:rPr>
        <w:t>Include the implementation</w:t>
      </w:r>
      <w:r w:rsidR="00567F7F" w:rsidRPr="00CA75F8">
        <w:rPr>
          <w:rFonts w:ascii="Arial" w:hAnsi="Arial" w:cs="Arial"/>
        </w:rPr>
        <w:t xml:space="preserve"> congestion pricing </w:t>
      </w:r>
      <w:r w:rsidRPr="00CA75F8">
        <w:rPr>
          <w:rFonts w:ascii="Arial" w:hAnsi="Arial" w:cs="Arial"/>
        </w:rPr>
        <w:t>at an appropriate year as an integral component of the transport strategy</w:t>
      </w:r>
      <w:r w:rsidR="00DC3698" w:rsidRPr="00CA75F8">
        <w:rPr>
          <w:rFonts w:ascii="Arial" w:hAnsi="Arial" w:cs="Arial"/>
        </w:rPr>
        <w:t>. At a minimum include a</w:t>
      </w:r>
      <w:r w:rsidR="002B5152" w:rsidRPr="00CA75F8">
        <w:rPr>
          <w:rFonts w:ascii="Arial" w:hAnsi="Arial" w:cs="Arial"/>
        </w:rPr>
        <w:t xml:space="preserve"> strategic</w:t>
      </w:r>
      <w:r w:rsidR="00DC3698" w:rsidRPr="00CA75F8">
        <w:rPr>
          <w:rFonts w:ascii="Arial" w:hAnsi="Arial" w:cs="Arial"/>
        </w:rPr>
        <w:t xml:space="preserve"> option with congestion pricing to demonstrate its potential</w:t>
      </w:r>
      <w:r w:rsidR="002B5152" w:rsidRPr="00CA75F8">
        <w:rPr>
          <w:rFonts w:ascii="Arial" w:hAnsi="Arial" w:cs="Arial"/>
        </w:rPr>
        <w:t xml:space="preserve"> benefits.</w:t>
      </w:r>
    </w:p>
    <w:p w:rsidR="000A5E15" w:rsidRPr="00CA75F8" w:rsidRDefault="000A5E15" w:rsidP="000A5E15">
      <w:pPr>
        <w:pStyle w:val="ListParagraph"/>
        <w:numPr>
          <w:ilvl w:val="0"/>
          <w:numId w:val="13"/>
        </w:numPr>
        <w:rPr>
          <w:rFonts w:ascii="Arial" w:hAnsi="Arial" w:cs="Arial"/>
        </w:rPr>
      </w:pPr>
      <w:r w:rsidRPr="00CA75F8">
        <w:rPr>
          <w:rFonts w:ascii="Arial" w:hAnsi="Arial" w:cs="Arial"/>
        </w:rPr>
        <w:t xml:space="preserve">Place more emphasis on ensuring that total GHG emissions reduce progressively over time. Any increase should be seen as unacceptable. </w:t>
      </w:r>
    </w:p>
    <w:p w:rsidR="00DD4A3F" w:rsidRPr="00CA75F8" w:rsidRDefault="00DD4A3F" w:rsidP="000A5E15">
      <w:pPr>
        <w:pStyle w:val="ListParagraph"/>
        <w:numPr>
          <w:ilvl w:val="0"/>
          <w:numId w:val="13"/>
        </w:numPr>
        <w:rPr>
          <w:rFonts w:ascii="Arial" w:hAnsi="Arial" w:cs="Arial"/>
        </w:rPr>
      </w:pPr>
      <w:r w:rsidRPr="00CA75F8">
        <w:rPr>
          <w:rFonts w:ascii="Arial" w:hAnsi="Arial" w:cs="Arial"/>
        </w:rPr>
        <w:t>Emphasise the importance of targeting traffic congestion reduction to key freight routes and of minimising the effects of congestion on bus services and the movement of goods.</w:t>
      </w:r>
    </w:p>
    <w:p w:rsidR="00567F7F" w:rsidRDefault="00567F7F" w:rsidP="00C45B18">
      <w:pPr>
        <w:rPr>
          <w:rFonts w:ascii="Arial" w:hAnsi="Arial" w:cs="Arial"/>
        </w:rPr>
      </w:pPr>
    </w:p>
    <w:p w:rsidR="000D31B6" w:rsidRPr="00F53E6B" w:rsidRDefault="00F53E6B" w:rsidP="00C45B18">
      <w:pPr>
        <w:rPr>
          <w:rFonts w:ascii="Arial" w:hAnsi="Arial" w:cs="Arial"/>
          <w:b/>
          <w:sz w:val="24"/>
          <w:szCs w:val="24"/>
        </w:rPr>
      </w:pPr>
      <w:r>
        <w:rPr>
          <w:rFonts w:ascii="Arial" w:hAnsi="Arial" w:cs="Arial"/>
          <w:b/>
          <w:sz w:val="24"/>
          <w:szCs w:val="24"/>
        </w:rPr>
        <w:t>4.</w:t>
      </w:r>
      <w:r w:rsidR="00BE37D2" w:rsidRPr="00F53E6B">
        <w:rPr>
          <w:rFonts w:ascii="Arial" w:hAnsi="Arial" w:cs="Arial"/>
          <w:b/>
          <w:sz w:val="24"/>
          <w:szCs w:val="24"/>
        </w:rPr>
        <w:t>5</w:t>
      </w:r>
      <w:r w:rsidR="00BE37D2" w:rsidRPr="00F53E6B">
        <w:rPr>
          <w:rFonts w:ascii="Arial" w:hAnsi="Arial" w:cs="Arial"/>
          <w:b/>
          <w:sz w:val="24"/>
          <w:szCs w:val="24"/>
        </w:rPr>
        <w:tab/>
      </w:r>
      <w:r>
        <w:rPr>
          <w:rFonts w:ascii="Arial" w:hAnsi="Arial" w:cs="Arial"/>
          <w:b/>
          <w:sz w:val="24"/>
          <w:szCs w:val="24"/>
        </w:rPr>
        <w:t>Other Actions</w:t>
      </w:r>
    </w:p>
    <w:p w:rsidR="00F53E6B" w:rsidRPr="00F53E6B" w:rsidRDefault="00F53E6B" w:rsidP="00CC15A3">
      <w:pPr>
        <w:pStyle w:val="ListParagraph"/>
        <w:numPr>
          <w:ilvl w:val="0"/>
          <w:numId w:val="15"/>
        </w:numPr>
        <w:rPr>
          <w:rFonts w:ascii="Arial" w:hAnsi="Arial" w:cs="Arial"/>
        </w:rPr>
      </w:pPr>
      <w:r w:rsidRPr="00F53E6B">
        <w:rPr>
          <w:rFonts w:ascii="Arial" w:hAnsi="Arial" w:cs="Arial"/>
        </w:rPr>
        <w:t>Influence driver behaviour through training in fuel efficient driving techniques. It is claimed that such training can enable drivers to reduce their fuel consumption by up to 15%, with associated cost and CO</w:t>
      </w:r>
      <w:r w:rsidRPr="00F53E6B">
        <w:rPr>
          <w:rFonts w:ascii="Arial" w:hAnsi="Arial" w:cs="Arial"/>
          <w:vertAlign w:val="subscript"/>
        </w:rPr>
        <w:t>2</w:t>
      </w:r>
      <w:r w:rsidRPr="00F53E6B">
        <w:rPr>
          <w:rFonts w:ascii="Arial" w:hAnsi="Arial" w:cs="Arial"/>
        </w:rPr>
        <w:t xml:space="preserve"> savings (EST, 2013). </w:t>
      </w:r>
    </w:p>
    <w:p w:rsidR="00F53E6B" w:rsidRDefault="00F53E6B" w:rsidP="00FF4A1A">
      <w:pPr>
        <w:rPr>
          <w:rFonts w:ascii="Arial" w:hAnsi="Arial" w:cs="Arial"/>
        </w:rPr>
      </w:pPr>
    </w:p>
    <w:p w:rsidR="00FF4A1A" w:rsidRPr="00F53E6B" w:rsidRDefault="00FF4A1A" w:rsidP="00CC15A3">
      <w:pPr>
        <w:pStyle w:val="ListParagraph"/>
        <w:numPr>
          <w:ilvl w:val="0"/>
          <w:numId w:val="15"/>
        </w:numPr>
        <w:rPr>
          <w:rFonts w:ascii="Arial" w:hAnsi="Arial" w:cs="Arial"/>
        </w:rPr>
      </w:pPr>
      <w:r w:rsidRPr="00F53E6B">
        <w:rPr>
          <w:rFonts w:ascii="Arial" w:hAnsi="Arial" w:cs="Arial"/>
        </w:rPr>
        <w:t>Specifically include potential future climate change risks such as flooding due to increased rainfall intensities</w:t>
      </w:r>
      <w:r w:rsidR="00806F50" w:rsidRPr="00F53E6B">
        <w:rPr>
          <w:rFonts w:ascii="Arial" w:hAnsi="Arial" w:cs="Arial"/>
        </w:rPr>
        <w:t>,</w:t>
      </w:r>
      <w:r w:rsidRPr="00F53E6B">
        <w:rPr>
          <w:rFonts w:ascii="Arial" w:hAnsi="Arial" w:cs="Arial"/>
        </w:rPr>
        <w:t xml:space="preserve"> and potential sea level rise scenarios in transport infrastructure decision making.  Based on the most recent data, prudent planning should be based on a sea level rise of at least 0.5m.</w:t>
      </w:r>
    </w:p>
    <w:p w:rsidR="00FF4A1A" w:rsidRPr="00FF4A1A" w:rsidRDefault="00FF4A1A" w:rsidP="00FF4A1A">
      <w:pPr>
        <w:pStyle w:val="ListParagraph"/>
        <w:ind w:left="0"/>
        <w:rPr>
          <w:rFonts w:ascii="Arial" w:hAnsi="Arial" w:cs="Arial"/>
        </w:rPr>
      </w:pPr>
    </w:p>
    <w:p w:rsidR="00FF4A1A" w:rsidRPr="00FF4A1A" w:rsidRDefault="00FF4A1A" w:rsidP="00FF4A1A">
      <w:pPr>
        <w:pStyle w:val="ListParagraph"/>
        <w:ind w:left="0"/>
        <w:rPr>
          <w:rFonts w:ascii="Arial" w:hAnsi="Arial" w:cs="Arial"/>
        </w:rPr>
      </w:pPr>
    </w:p>
    <w:p w:rsidR="00FF4A1A" w:rsidRPr="00FF4A1A" w:rsidRDefault="00FF4A1A" w:rsidP="00CC15A3">
      <w:pPr>
        <w:pStyle w:val="ListParagraph"/>
        <w:numPr>
          <w:ilvl w:val="0"/>
          <w:numId w:val="15"/>
        </w:numPr>
        <w:rPr>
          <w:rFonts w:ascii="Arial" w:hAnsi="Arial" w:cs="Arial"/>
        </w:rPr>
      </w:pPr>
      <w:r w:rsidRPr="00FF4A1A">
        <w:rPr>
          <w:rFonts w:ascii="Arial" w:hAnsi="Arial" w:cs="Arial"/>
        </w:rPr>
        <w:t>Identify and take action to protect existing highway infrastructure vulnerable to coastal erosion and more intense and frequent storm events. This includes bridge and culvert retrofits.</w:t>
      </w:r>
    </w:p>
    <w:p w:rsidR="00CA75F8" w:rsidRDefault="00CA75F8" w:rsidP="00E24DBF">
      <w:pPr>
        <w:rPr>
          <w:rFonts w:ascii="Arial" w:hAnsi="Arial" w:cs="Arial"/>
        </w:rPr>
      </w:pPr>
    </w:p>
    <w:p w:rsidR="00341067" w:rsidRPr="00341067" w:rsidRDefault="00F53E6B" w:rsidP="00E24DBF">
      <w:pPr>
        <w:rPr>
          <w:rFonts w:ascii="Arial" w:hAnsi="Arial" w:cs="Arial"/>
          <w:b/>
          <w:sz w:val="28"/>
          <w:szCs w:val="28"/>
        </w:rPr>
      </w:pPr>
      <w:r>
        <w:rPr>
          <w:rFonts w:ascii="Arial" w:hAnsi="Arial" w:cs="Arial"/>
          <w:b/>
          <w:sz w:val="28"/>
          <w:szCs w:val="28"/>
        </w:rPr>
        <w:t>5</w:t>
      </w:r>
      <w:r w:rsidR="00BE37D2">
        <w:rPr>
          <w:rFonts w:ascii="Arial" w:hAnsi="Arial" w:cs="Arial"/>
          <w:b/>
          <w:sz w:val="28"/>
          <w:szCs w:val="28"/>
        </w:rPr>
        <w:t>.</w:t>
      </w:r>
      <w:r w:rsidR="00BE37D2">
        <w:rPr>
          <w:rFonts w:ascii="Arial" w:hAnsi="Arial" w:cs="Arial"/>
          <w:b/>
          <w:sz w:val="28"/>
          <w:szCs w:val="28"/>
        </w:rPr>
        <w:tab/>
      </w:r>
      <w:r w:rsidR="0077430F">
        <w:rPr>
          <w:rFonts w:ascii="Arial" w:hAnsi="Arial" w:cs="Arial"/>
          <w:b/>
          <w:sz w:val="28"/>
          <w:szCs w:val="28"/>
        </w:rPr>
        <w:t>CONCLUSION</w:t>
      </w:r>
    </w:p>
    <w:p w:rsidR="00282239" w:rsidRDefault="00282239" w:rsidP="00282239">
      <w:pPr>
        <w:rPr>
          <w:rFonts w:ascii="Arial" w:hAnsi="Arial" w:cs="Arial"/>
        </w:rPr>
      </w:pPr>
      <w:r w:rsidRPr="00282239">
        <w:rPr>
          <w:rFonts w:ascii="Arial" w:hAnsi="Arial" w:cs="Arial"/>
        </w:rPr>
        <w:t xml:space="preserve">Our transport system relies extensively on the availability and use of fossil fuels in the form of petrol and diesel. </w:t>
      </w:r>
      <w:r>
        <w:rPr>
          <w:rFonts w:ascii="Arial" w:hAnsi="Arial" w:cs="Arial"/>
        </w:rPr>
        <w:t xml:space="preserve">New Zealand is at the end of a long supply chain. </w:t>
      </w:r>
      <w:r w:rsidRPr="00282239">
        <w:rPr>
          <w:rFonts w:ascii="Arial" w:hAnsi="Arial" w:cs="Arial"/>
        </w:rPr>
        <w:t xml:space="preserve">From a national energy security perspective we need to reduce our heavy reliance on imported crude oil and imported </w:t>
      </w:r>
      <w:r w:rsidR="00550A17">
        <w:rPr>
          <w:rFonts w:ascii="Arial" w:hAnsi="Arial" w:cs="Arial"/>
        </w:rPr>
        <w:t>refined petroleum products</w:t>
      </w:r>
      <w:r w:rsidRPr="00282239">
        <w:rPr>
          <w:rFonts w:ascii="Arial" w:hAnsi="Arial" w:cs="Arial"/>
        </w:rPr>
        <w:t>. From a climate change perspective we need to progressively reduce our consumption of fossil fuels. Taken together these major challenges require a concerted effort to reduce our transport energy consumption</w:t>
      </w:r>
      <w:r w:rsidR="00B60CED">
        <w:rPr>
          <w:rFonts w:ascii="Arial" w:hAnsi="Arial" w:cs="Arial"/>
        </w:rPr>
        <w:t xml:space="preserve"> and its greenhouse gas emissions. This requires actions to</w:t>
      </w:r>
      <w:r w:rsidRPr="00282239">
        <w:rPr>
          <w:rFonts w:ascii="Arial" w:hAnsi="Arial" w:cs="Arial"/>
        </w:rPr>
        <w:t xml:space="preserve"> improved efficiency, </w:t>
      </w:r>
      <w:r w:rsidR="00B60CED">
        <w:rPr>
          <w:rFonts w:ascii="Arial" w:hAnsi="Arial" w:cs="Arial"/>
        </w:rPr>
        <w:t xml:space="preserve">to </w:t>
      </w:r>
      <w:r w:rsidRPr="00282239">
        <w:rPr>
          <w:rFonts w:ascii="Arial" w:hAnsi="Arial" w:cs="Arial"/>
        </w:rPr>
        <w:t>reduce demand, and</w:t>
      </w:r>
      <w:r w:rsidR="00B60CED">
        <w:rPr>
          <w:rFonts w:ascii="Arial" w:hAnsi="Arial" w:cs="Arial"/>
        </w:rPr>
        <w:t xml:space="preserve"> to progressively</w:t>
      </w:r>
      <w:r w:rsidRPr="00282239">
        <w:rPr>
          <w:rFonts w:ascii="Arial" w:hAnsi="Arial" w:cs="Arial"/>
        </w:rPr>
        <w:t xml:space="preserve"> substit</w:t>
      </w:r>
      <w:r w:rsidR="00B60CED">
        <w:rPr>
          <w:rFonts w:ascii="Arial" w:hAnsi="Arial" w:cs="Arial"/>
        </w:rPr>
        <w:t>ute</w:t>
      </w:r>
      <w:r w:rsidRPr="00282239">
        <w:rPr>
          <w:rFonts w:ascii="Arial" w:hAnsi="Arial" w:cs="Arial"/>
        </w:rPr>
        <w:t xml:space="preserve"> fossil fuels with fuels produced sustainably in New Zealand. </w:t>
      </w:r>
    </w:p>
    <w:p w:rsidR="00282239" w:rsidRPr="00282239" w:rsidRDefault="00282239" w:rsidP="00282239">
      <w:pPr>
        <w:rPr>
          <w:rFonts w:ascii="Arial" w:hAnsi="Arial" w:cs="Arial"/>
        </w:rPr>
      </w:pPr>
    </w:p>
    <w:p w:rsidR="00282239" w:rsidRPr="00282239" w:rsidRDefault="00282239" w:rsidP="00282239">
      <w:pPr>
        <w:rPr>
          <w:rFonts w:ascii="Arial" w:hAnsi="Arial" w:cs="Arial"/>
        </w:rPr>
      </w:pPr>
      <w:r w:rsidRPr="00282239">
        <w:rPr>
          <w:rFonts w:ascii="Arial" w:hAnsi="Arial" w:cs="Arial"/>
        </w:rPr>
        <w:t>Natural gas, while a fossil fuel, can be an effective substitute for petrol and can help reduce CO</w:t>
      </w:r>
      <w:r w:rsidRPr="00282239">
        <w:rPr>
          <w:rFonts w:ascii="Arial" w:hAnsi="Arial" w:cs="Arial"/>
          <w:vertAlign w:val="subscript"/>
        </w:rPr>
        <w:t>2</w:t>
      </w:r>
      <w:r w:rsidRPr="00282239">
        <w:rPr>
          <w:rFonts w:ascii="Arial" w:hAnsi="Arial" w:cs="Arial"/>
        </w:rPr>
        <w:t xml:space="preserve"> emissions. It is becoming widely available internationally, and exploration may well identify a major new source or sources in New Zealand. In addition New Zealand has relatively recent experience in using CNG as a transport fuel. </w:t>
      </w:r>
      <w:r w:rsidR="00B60CED">
        <w:rPr>
          <w:rFonts w:ascii="Arial" w:hAnsi="Arial" w:cs="Arial"/>
        </w:rPr>
        <w:t>T</w:t>
      </w:r>
      <w:r w:rsidRPr="00282239">
        <w:rPr>
          <w:rFonts w:ascii="Arial" w:hAnsi="Arial" w:cs="Arial"/>
        </w:rPr>
        <w:t>he cost of producing ethanol and/or diesel from sustainable sources such as wood chips and fast growing grasses on marginal land is reducing</w:t>
      </w:r>
      <w:r w:rsidR="00B60CED">
        <w:rPr>
          <w:rFonts w:ascii="Arial" w:hAnsi="Arial" w:cs="Arial"/>
        </w:rPr>
        <w:t>.</w:t>
      </w:r>
      <w:r w:rsidR="00B60CED" w:rsidRPr="00B60CED">
        <w:rPr>
          <w:rFonts w:ascii="Arial" w:hAnsi="Arial" w:cs="Arial"/>
        </w:rPr>
        <w:t xml:space="preserve"> </w:t>
      </w:r>
      <w:r w:rsidR="00B60CED" w:rsidRPr="00282239">
        <w:rPr>
          <w:rFonts w:ascii="Arial" w:hAnsi="Arial" w:cs="Arial"/>
        </w:rPr>
        <w:t>Technology advances in recent years are encouraging</w:t>
      </w:r>
      <w:r w:rsidR="00B60CED">
        <w:rPr>
          <w:rFonts w:ascii="Arial" w:hAnsi="Arial" w:cs="Arial"/>
        </w:rPr>
        <w:t xml:space="preserve">, </w:t>
      </w:r>
      <w:r w:rsidRPr="00282239">
        <w:rPr>
          <w:rFonts w:ascii="Arial" w:hAnsi="Arial" w:cs="Arial"/>
        </w:rPr>
        <w:t xml:space="preserve">and commercial production may become a reality within a few years. Electrically-powered cars are coming onto the market in increasing numbers. </w:t>
      </w:r>
    </w:p>
    <w:p w:rsidR="009460F0" w:rsidRDefault="00282239" w:rsidP="00E24DBF">
      <w:pPr>
        <w:rPr>
          <w:rFonts w:ascii="Arial" w:hAnsi="Arial" w:cs="Arial"/>
        </w:rPr>
      </w:pPr>
      <w:r>
        <w:rPr>
          <w:rFonts w:ascii="Arial" w:hAnsi="Arial" w:cs="Arial"/>
        </w:rPr>
        <w:t>.</w:t>
      </w:r>
    </w:p>
    <w:p w:rsidR="00282239" w:rsidRDefault="00F51ECF" w:rsidP="00E24DBF">
      <w:pPr>
        <w:rPr>
          <w:rFonts w:ascii="Arial" w:hAnsi="Arial" w:cs="Arial"/>
        </w:rPr>
      </w:pPr>
      <w:r>
        <w:rPr>
          <w:rFonts w:ascii="Arial" w:hAnsi="Arial" w:cs="Arial"/>
        </w:rPr>
        <w:t xml:space="preserve">This paper identifies a number of actions to mitigate the potential effects of future climate change and to improve New Zealand’s transport energy security. </w:t>
      </w:r>
      <w:r w:rsidR="00CA046F">
        <w:rPr>
          <w:rFonts w:ascii="Arial" w:hAnsi="Arial" w:cs="Arial"/>
        </w:rPr>
        <w:t xml:space="preserve">Some of the actions can be implemented in the near future, others are longer term. </w:t>
      </w:r>
      <w:r>
        <w:rPr>
          <w:rFonts w:ascii="Arial" w:hAnsi="Arial" w:cs="Arial"/>
        </w:rPr>
        <w:t>An essential change that must take place at the national level is to move from a short term horizon to looking at least 30 years ahead</w:t>
      </w:r>
      <w:r w:rsidR="00282239">
        <w:rPr>
          <w:rFonts w:ascii="Arial" w:hAnsi="Arial" w:cs="Arial"/>
        </w:rPr>
        <w:t>. We need to thin</w:t>
      </w:r>
      <w:r>
        <w:rPr>
          <w:rFonts w:ascii="Arial" w:hAnsi="Arial" w:cs="Arial"/>
        </w:rPr>
        <w:t>k mu</w:t>
      </w:r>
      <w:r w:rsidR="00AD2082">
        <w:rPr>
          <w:rFonts w:ascii="Arial" w:hAnsi="Arial" w:cs="Arial"/>
        </w:rPr>
        <w:t>ch</w:t>
      </w:r>
      <w:r>
        <w:rPr>
          <w:rFonts w:ascii="Arial" w:hAnsi="Arial" w:cs="Arial"/>
        </w:rPr>
        <w:t xml:space="preserve"> more seriously about the needs of future generations</w:t>
      </w:r>
      <w:r w:rsidR="00282239">
        <w:rPr>
          <w:rFonts w:ascii="Arial" w:hAnsi="Arial" w:cs="Arial"/>
        </w:rPr>
        <w:t>.</w:t>
      </w:r>
      <w:r>
        <w:rPr>
          <w:rFonts w:ascii="Arial" w:hAnsi="Arial" w:cs="Arial"/>
        </w:rPr>
        <w:t xml:space="preserve"> </w:t>
      </w:r>
    </w:p>
    <w:p w:rsidR="00282239" w:rsidRDefault="00282239" w:rsidP="00E24DBF">
      <w:pPr>
        <w:rPr>
          <w:rFonts w:ascii="Arial" w:hAnsi="Arial" w:cs="Arial"/>
        </w:rPr>
      </w:pPr>
    </w:p>
    <w:p w:rsidR="00C00AC7" w:rsidRDefault="00AD2082" w:rsidP="006E5955">
      <w:pPr>
        <w:rPr>
          <w:rFonts w:ascii="Arial" w:hAnsi="Arial" w:cs="Arial"/>
        </w:rPr>
      </w:pPr>
      <w:r>
        <w:rPr>
          <w:rFonts w:ascii="Arial" w:hAnsi="Arial" w:cs="Arial"/>
        </w:rPr>
        <w:t>There is a need for strong and consistent national leadership and for effective Government</w:t>
      </w:r>
      <w:r w:rsidR="00282239">
        <w:rPr>
          <w:rFonts w:ascii="Arial" w:hAnsi="Arial" w:cs="Arial"/>
        </w:rPr>
        <w:t xml:space="preserve"> support for local initiatives. </w:t>
      </w:r>
      <w:r w:rsidR="00F51ECF">
        <w:rPr>
          <w:rFonts w:ascii="Arial" w:hAnsi="Arial" w:cs="Arial"/>
        </w:rPr>
        <w:t xml:space="preserve">It is in New Zealand’s wider interests as a food exporting nation to be seen as a nation which takes its environmental responsibilities seriously. </w:t>
      </w:r>
      <w:r w:rsidR="00CA046F">
        <w:rPr>
          <w:rFonts w:ascii="Arial" w:hAnsi="Arial" w:cs="Arial"/>
        </w:rPr>
        <w:t>Effective a</w:t>
      </w:r>
      <w:r w:rsidR="00F51ECF">
        <w:rPr>
          <w:rFonts w:ascii="Arial" w:hAnsi="Arial" w:cs="Arial"/>
        </w:rPr>
        <w:t>ction</w:t>
      </w:r>
      <w:r w:rsidR="00CA046F">
        <w:rPr>
          <w:rFonts w:ascii="Arial" w:hAnsi="Arial" w:cs="Arial"/>
        </w:rPr>
        <w:t xml:space="preserve"> is</w:t>
      </w:r>
      <w:r w:rsidR="00F51ECF">
        <w:rPr>
          <w:rFonts w:ascii="Arial" w:hAnsi="Arial" w:cs="Arial"/>
        </w:rPr>
        <w:t xml:space="preserve"> required, no</w:t>
      </w:r>
      <w:r w:rsidR="00CA046F">
        <w:rPr>
          <w:rFonts w:ascii="Arial" w:hAnsi="Arial" w:cs="Arial"/>
        </w:rPr>
        <w:t>t</w:t>
      </w:r>
      <w:r w:rsidR="00F51ECF">
        <w:rPr>
          <w:rFonts w:ascii="Arial" w:hAnsi="Arial" w:cs="Arial"/>
        </w:rPr>
        <w:t xml:space="preserve"> vague promises</w:t>
      </w:r>
      <w:r w:rsidR="00CA046F">
        <w:rPr>
          <w:rFonts w:ascii="Arial" w:hAnsi="Arial" w:cs="Arial"/>
        </w:rPr>
        <w:t xml:space="preserve"> or excuses</w:t>
      </w:r>
      <w:r w:rsidR="00F51ECF">
        <w:rPr>
          <w:rFonts w:ascii="Arial" w:hAnsi="Arial" w:cs="Arial"/>
        </w:rPr>
        <w:t>.</w:t>
      </w:r>
      <w:r w:rsidR="00C00AC7">
        <w:rPr>
          <w:rFonts w:ascii="Arial" w:hAnsi="Arial" w:cs="Arial"/>
        </w:rPr>
        <w:t xml:space="preserve"> </w:t>
      </w:r>
    </w:p>
    <w:p w:rsidR="00C00AC7" w:rsidRDefault="00C00AC7" w:rsidP="006E5955">
      <w:pPr>
        <w:rPr>
          <w:rFonts w:ascii="Arial" w:hAnsi="Arial" w:cs="Arial"/>
        </w:rPr>
      </w:pPr>
    </w:p>
    <w:p w:rsidR="00882B1F" w:rsidRDefault="00CA046F" w:rsidP="006E5955">
      <w:pPr>
        <w:rPr>
          <w:rFonts w:ascii="Arial" w:hAnsi="Arial" w:cs="Arial"/>
        </w:rPr>
      </w:pPr>
      <w:r>
        <w:rPr>
          <w:rFonts w:ascii="Arial" w:hAnsi="Arial" w:cs="Arial"/>
        </w:rPr>
        <w:t>At a more local level</w:t>
      </w:r>
      <w:r w:rsidR="005C1E09">
        <w:rPr>
          <w:rFonts w:ascii="Arial" w:hAnsi="Arial" w:cs="Arial"/>
        </w:rPr>
        <w:t>, our</w:t>
      </w:r>
      <w:r>
        <w:rPr>
          <w:rFonts w:ascii="Arial" w:hAnsi="Arial" w:cs="Arial"/>
        </w:rPr>
        <w:t xml:space="preserve"> cities</w:t>
      </w:r>
      <w:r w:rsidR="00321E35">
        <w:rPr>
          <w:rFonts w:ascii="Arial" w:hAnsi="Arial" w:cs="Arial"/>
        </w:rPr>
        <w:t xml:space="preserve"> and towns</w:t>
      </w:r>
      <w:r>
        <w:rPr>
          <w:rFonts w:ascii="Arial" w:hAnsi="Arial" w:cs="Arial"/>
        </w:rPr>
        <w:t xml:space="preserve"> need to incorporate climate change into their strategic planning as a core element, and need to think much more seriously about how </w:t>
      </w:r>
      <w:r w:rsidR="00321E35">
        <w:rPr>
          <w:rFonts w:ascii="Arial" w:hAnsi="Arial" w:cs="Arial"/>
        </w:rPr>
        <w:t>they</w:t>
      </w:r>
      <w:r>
        <w:rPr>
          <w:rFonts w:ascii="Arial" w:hAnsi="Arial" w:cs="Arial"/>
        </w:rPr>
        <w:t xml:space="preserve"> would function in a future with significantly higher </w:t>
      </w:r>
      <w:r w:rsidR="005C1E09">
        <w:rPr>
          <w:rFonts w:ascii="Arial" w:hAnsi="Arial" w:cs="Arial"/>
        </w:rPr>
        <w:t>transport</w:t>
      </w:r>
      <w:r>
        <w:rPr>
          <w:rFonts w:ascii="Arial" w:hAnsi="Arial" w:cs="Arial"/>
        </w:rPr>
        <w:t xml:space="preserve"> fuel costs</w:t>
      </w:r>
      <w:r w:rsidR="00321E35">
        <w:rPr>
          <w:rFonts w:ascii="Arial" w:hAnsi="Arial" w:cs="Arial"/>
        </w:rPr>
        <w:t>.</w:t>
      </w:r>
      <w:r w:rsidR="00003C23" w:rsidRPr="00003C23">
        <w:rPr>
          <w:rFonts w:ascii="Arial" w:hAnsi="Arial" w:cs="Arial"/>
        </w:rPr>
        <w:t xml:space="preserve"> </w:t>
      </w:r>
      <w:r w:rsidR="00003C23">
        <w:rPr>
          <w:rFonts w:ascii="Arial" w:hAnsi="Arial" w:cs="Arial"/>
        </w:rPr>
        <w:t>A strong and competitive economy is, of course, important, as is ‘liveability’. However, l</w:t>
      </w:r>
      <w:r w:rsidR="00321E35">
        <w:rPr>
          <w:rFonts w:ascii="Arial" w:hAnsi="Arial" w:cs="Arial"/>
        </w:rPr>
        <w:t xml:space="preserve">iveability will increasingly be </w:t>
      </w:r>
      <w:r w:rsidR="00B25748">
        <w:rPr>
          <w:rFonts w:ascii="Arial" w:hAnsi="Arial" w:cs="Arial"/>
        </w:rPr>
        <w:t>a</w:t>
      </w:r>
      <w:r w:rsidR="006B7F8B">
        <w:rPr>
          <w:rFonts w:ascii="Arial" w:hAnsi="Arial" w:cs="Arial"/>
        </w:rPr>
        <w:t>s</w:t>
      </w:r>
      <w:r w:rsidR="00B25748">
        <w:rPr>
          <w:rFonts w:ascii="Arial" w:hAnsi="Arial" w:cs="Arial"/>
        </w:rPr>
        <w:t>sociated</w:t>
      </w:r>
      <w:r w:rsidR="00321E35">
        <w:rPr>
          <w:rFonts w:ascii="Arial" w:hAnsi="Arial" w:cs="Arial"/>
        </w:rPr>
        <w:t xml:space="preserve"> with sustainability and environmental responsibility. Urban areas must adapt and </w:t>
      </w:r>
      <w:r w:rsidR="00C00AC7">
        <w:rPr>
          <w:rFonts w:ascii="Arial" w:hAnsi="Arial" w:cs="Arial"/>
        </w:rPr>
        <w:t>respond effectively</w:t>
      </w:r>
      <w:r w:rsidR="00321E35">
        <w:rPr>
          <w:rFonts w:ascii="Arial" w:hAnsi="Arial" w:cs="Arial"/>
        </w:rPr>
        <w:t xml:space="preserve"> if they are to prosper in an increasingly competitive world. </w:t>
      </w:r>
    </w:p>
    <w:p w:rsidR="00C00AC7" w:rsidRDefault="00C00AC7" w:rsidP="006E5955">
      <w:pPr>
        <w:rPr>
          <w:rFonts w:ascii="Arial" w:hAnsi="Arial" w:cs="Arial"/>
        </w:rPr>
      </w:pPr>
    </w:p>
    <w:p w:rsidR="00490E30" w:rsidRDefault="000F5C3F" w:rsidP="006E5955">
      <w:pPr>
        <w:rPr>
          <w:rFonts w:ascii="Arial" w:hAnsi="Arial" w:cs="Arial"/>
        </w:rPr>
      </w:pPr>
      <w:r>
        <w:rPr>
          <w:rFonts w:ascii="Arial" w:hAnsi="Arial" w:cs="Arial"/>
        </w:rPr>
        <w:t>T</w:t>
      </w:r>
      <w:r w:rsidR="00B979AF">
        <w:rPr>
          <w:rFonts w:ascii="Arial" w:hAnsi="Arial" w:cs="Arial"/>
        </w:rPr>
        <w:t>he IPENZ Transportation Group in particular</w:t>
      </w:r>
      <w:r w:rsidR="00407F7A">
        <w:rPr>
          <w:rFonts w:ascii="Arial" w:hAnsi="Arial" w:cs="Arial"/>
        </w:rPr>
        <w:t>,</w:t>
      </w:r>
      <w:r w:rsidR="00B979AF">
        <w:rPr>
          <w:rFonts w:ascii="Arial" w:hAnsi="Arial" w:cs="Arial"/>
        </w:rPr>
        <w:t xml:space="preserve"> and t</w:t>
      </w:r>
      <w:r w:rsidR="00C00AC7">
        <w:rPr>
          <w:rFonts w:ascii="Arial" w:hAnsi="Arial" w:cs="Arial"/>
        </w:rPr>
        <w:t>ransportation professionals</w:t>
      </w:r>
      <w:r w:rsidR="00B979AF">
        <w:rPr>
          <w:rFonts w:ascii="Arial" w:hAnsi="Arial" w:cs="Arial"/>
        </w:rPr>
        <w:t xml:space="preserve"> in general</w:t>
      </w:r>
      <w:r w:rsidR="00407F7A">
        <w:rPr>
          <w:rFonts w:ascii="Arial" w:hAnsi="Arial" w:cs="Arial"/>
        </w:rPr>
        <w:t>,</w:t>
      </w:r>
      <w:r w:rsidR="00C00AC7">
        <w:rPr>
          <w:rFonts w:ascii="Arial" w:hAnsi="Arial" w:cs="Arial"/>
        </w:rPr>
        <w:t xml:space="preserve"> </w:t>
      </w:r>
      <w:r w:rsidR="00473253">
        <w:rPr>
          <w:rFonts w:ascii="Arial" w:hAnsi="Arial" w:cs="Arial"/>
        </w:rPr>
        <w:t>are urged</w:t>
      </w:r>
      <w:r w:rsidR="00C00AC7">
        <w:rPr>
          <w:rFonts w:ascii="Arial" w:hAnsi="Arial" w:cs="Arial"/>
        </w:rPr>
        <w:t xml:space="preserve"> to take leadership in </w:t>
      </w:r>
      <w:r w:rsidR="00C77DD7">
        <w:rPr>
          <w:rFonts w:ascii="Arial" w:hAnsi="Arial" w:cs="Arial"/>
        </w:rPr>
        <w:t>raising</w:t>
      </w:r>
      <w:r w:rsidR="007C06F3">
        <w:rPr>
          <w:rFonts w:ascii="Arial" w:hAnsi="Arial" w:cs="Arial"/>
        </w:rPr>
        <w:t xml:space="preserve"> climate change and transport energy security</w:t>
      </w:r>
      <w:r w:rsidR="00C00AC7">
        <w:rPr>
          <w:rFonts w:ascii="Arial" w:hAnsi="Arial" w:cs="Arial"/>
        </w:rPr>
        <w:t xml:space="preserve"> risks</w:t>
      </w:r>
      <w:r w:rsidR="00276A6E">
        <w:rPr>
          <w:rFonts w:ascii="Arial" w:hAnsi="Arial" w:cs="Arial"/>
        </w:rPr>
        <w:t>, and</w:t>
      </w:r>
      <w:r w:rsidR="00C77DD7">
        <w:rPr>
          <w:rFonts w:ascii="Arial" w:hAnsi="Arial" w:cs="Arial"/>
        </w:rPr>
        <w:t xml:space="preserve"> in identifying actions that can</w:t>
      </w:r>
      <w:r w:rsidR="008627D1">
        <w:rPr>
          <w:rFonts w:ascii="Arial" w:hAnsi="Arial" w:cs="Arial"/>
        </w:rPr>
        <w:t xml:space="preserve"> and should</w:t>
      </w:r>
      <w:r w:rsidR="00C77DD7">
        <w:rPr>
          <w:rFonts w:ascii="Arial" w:hAnsi="Arial" w:cs="Arial"/>
        </w:rPr>
        <w:t xml:space="preserve"> be taken to </w:t>
      </w:r>
      <w:r w:rsidR="00276A6E">
        <w:rPr>
          <w:rFonts w:ascii="Arial" w:hAnsi="Arial" w:cs="Arial"/>
        </w:rPr>
        <w:t>mitigate</w:t>
      </w:r>
      <w:r w:rsidR="00473253">
        <w:rPr>
          <w:rFonts w:ascii="Arial" w:hAnsi="Arial" w:cs="Arial"/>
        </w:rPr>
        <w:t xml:space="preserve"> </w:t>
      </w:r>
      <w:r w:rsidR="00C77DD7">
        <w:rPr>
          <w:rFonts w:ascii="Arial" w:hAnsi="Arial" w:cs="Arial"/>
        </w:rPr>
        <w:t>those risks</w:t>
      </w:r>
      <w:r w:rsidR="00276A6E">
        <w:rPr>
          <w:rFonts w:ascii="Arial" w:hAnsi="Arial" w:cs="Arial"/>
        </w:rPr>
        <w:t xml:space="preserve">.  </w:t>
      </w:r>
    </w:p>
    <w:p w:rsidR="00490E30" w:rsidRDefault="00490E30" w:rsidP="006E5955">
      <w:pPr>
        <w:rPr>
          <w:rFonts w:ascii="Arial" w:hAnsi="Arial" w:cs="Arial"/>
        </w:rPr>
      </w:pPr>
    </w:p>
    <w:p w:rsidR="00B25748" w:rsidRPr="00B25748" w:rsidRDefault="00B25748" w:rsidP="006E5955">
      <w:pPr>
        <w:rPr>
          <w:rFonts w:ascii="Arial" w:hAnsi="Arial" w:cs="Arial"/>
          <w:b/>
          <w:caps/>
          <w:sz w:val="28"/>
          <w:szCs w:val="28"/>
        </w:rPr>
      </w:pPr>
      <w:r w:rsidRPr="00B25748">
        <w:rPr>
          <w:rFonts w:ascii="Arial" w:hAnsi="Arial" w:cs="Arial"/>
          <w:b/>
          <w:caps/>
          <w:sz w:val="28"/>
          <w:szCs w:val="28"/>
        </w:rPr>
        <w:t>References</w:t>
      </w:r>
    </w:p>
    <w:p w:rsidR="00052C1F" w:rsidRDefault="00052C1F" w:rsidP="00815AEE">
      <w:pPr>
        <w:spacing w:line="240" w:lineRule="auto"/>
        <w:rPr>
          <w:rFonts w:ascii="Arial" w:hAnsi="Arial" w:cs="Arial"/>
        </w:rPr>
      </w:pPr>
      <w:r>
        <w:rPr>
          <w:rFonts w:ascii="Arial" w:hAnsi="Arial" w:cs="Arial"/>
        </w:rPr>
        <w:t xml:space="preserve">Barry, K. (2013). </w:t>
      </w:r>
      <w:proofErr w:type="gramStart"/>
      <w:r>
        <w:rPr>
          <w:rFonts w:ascii="Arial" w:hAnsi="Arial" w:cs="Arial"/>
        </w:rPr>
        <w:t>Electric Buses Test Wireless Charging in Germany.</w:t>
      </w:r>
      <w:proofErr w:type="gramEnd"/>
      <w:r>
        <w:rPr>
          <w:rFonts w:ascii="Arial" w:hAnsi="Arial" w:cs="Arial"/>
        </w:rPr>
        <w:t xml:space="preserve"> </w:t>
      </w:r>
      <w:r w:rsidRPr="00195F95">
        <w:rPr>
          <w:rFonts w:ascii="Arial" w:hAnsi="Arial" w:cs="Arial"/>
        </w:rPr>
        <w:t xml:space="preserve">www.wired.com/autopia </w:t>
      </w:r>
      <w:r>
        <w:rPr>
          <w:rFonts w:ascii="Arial" w:hAnsi="Arial" w:cs="Arial"/>
        </w:rPr>
        <w:t>/2013/03/wireless-charging-bus-</w:t>
      </w:r>
      <w:proofErr w:type="spellStart"/>
      <w:r>
        <w:rPr>
          <w:rFonts w:ascii="Arial" w:hAnsi="Arial" w:cs="Arial"/>
        </w:rPr>
        <w:t>germany</w:t>
      </w:r>
      <w:proofErr w:type="spellEnd"/>
      <w:r>
        <w:rPr>
          <w:rFonts w:ascii="Arial" w:hAnsi="Arial" w:cs="Arial"/>
        </w:rPr>
        <w:t>/</w:t>
      </w:r>
    </w:p>
    <w:p w:rsidR="00052C1F" w:rsidRDefault="00052C1F" w:rsidP="00815AEE">
      <w:pPr>
        <w:spacing w:line="240" w:lineRule="auto"/>
        <w:rPr>
          <w:rFonts w:ascii="Arial" w:hAnsi="Arial" w:cs="Arial"/>
        </w:rPr>
      </w:pPr>
      <w:proofErr w:type="gramStart"/>
      <w:r>
        <w:rPr>
          <w:rFonts w:ascii="Arial" w:hAnsi="Arial" w:cs="Arial"/>
        </w:rPr>
        <w:t>DOE (2013).</w:t>
      </w:r>
      <w:proofErr w:type="gramEnd"/>
      <w:r>
        <w:rPr>
          <w:rFonts w:ascii="Arial" w:hAnsi="Arial" w:cs="Arial"/>
        </w:rPr>
        <w:t xml:space="preserve"> US Department of Energy Alternative Fuels Data Centre. </w:t>
      </w:r>
      <w:hyperlink r:id="rId15" w:history="1">
        <w:r w:rsidR="00815AEE" w:rsidRPr="00815AEE">
          <w:rPr>
            <w:rStyle w:val="Hyperlink"/>
            <w:rFonts w:ascii="Arial" w:hAnsi="Arial" w:cs="Arial"/>
            <w:color w:val="auto"/>
            <w:u w:val="none"/>
          </w:rPr>
          <w:t>www.afdc.energy.gov/fuels/natural_gas.html</w:t>
        </w:r>
      </w:hyperlink>
      <w:r w:rsidR="00815AEE" w:rsidRPr="00815AEE">
        <w:rPr>
          <w:rFonts w:ascii="Arial" w:hAnsi="Arial" w:cs="Arial"/>
        </w:rPr>
        <w:t xml:space="preserve"> </w:t>
      </w:r>
      <w:r w:rsidR="00DB3281">
        <w:rPr>
          <w:rFonts w:ascii="Arial" w:hAnsi="Arial" w:cs="Arial"/>
        </w:rPr>
        <w:t xml:space="preserve"> </w:t>
      </w:r>
    </w:p>
    <w:p w:rsidR="00DB3281" w:rsidRPr="007F2B59" w:rsidRDefault="007F2B59" w:rsidP="00815AEE">
      <w:pPr>
        <w:spacing w:line="240" w:lineRule="auto"/>
        <w:rPr>
          <w:rFonts w:ascii="Arial" w:hAnsi="Arial" w:cs="Arial"/>
        </w:rPr>
      </w:pPr>
      <w:r>
        <w:rPr>
          <w:rFonts w:ascii="Arial" w:hAnsi="Arial" w:cs="Arial"/>
        </w:rPr>
        <w:t xml:space="preserve">ibid. </w:t>
      </w:r>
      <w:hyperlink r:id="rId16" w:history="1">
        <w:r w:rsidR="00DB3281" w:rsidRPr="007F2B59">
          <w:rPr>
            <w:rStyle w:val="Hyperlink"/>
            <w:rFonts w:ascii="Arial" w:hAnsi="Arial" w:cs="Arial"/>
            <w:color w:val="auto"/>
            <w:u w:val="none"/>
          </w:rPr>
          <w:t>www.afdc.energy.gov/fuels/ethanol_blends.html</w:t>
        </w:r>
      </w:hyperlink>
    </w:p>
    <w:p w:rsidR="00815AEE" w:rsidRDefault="00815AEE" w:rsidP="00815AEE">
      <w:pPr>
        <w:spacing w:line="240" w:lineRule="auto"/>
        <w:rPr>
          <w:rFonts w:ascii="Arial" w:hAnsi="Arial" w:cs="Arial"/>
        </w:rPr>
      </w:pPr>
      <w:proofErr w:type="gramStart"/>
      <w:r>
        <w:rPr>
          <w:rFonts w:ascii="Arial" w:hAnsi="Arial" w:cs="Arial"/>
        </w:rPr>
        <w:t>EECS (2011).</w:t>
      </w:r>
      <w:proofErr w:type="gramEnd"/>
      <w:r>
        <w:rPr>
          <w:rFonts w:ascii="Arial" w:hAnsi="Arial" w:cs="Arial"/>
        </w:rPr>
        <w:t xml:space="preserve"> New Zealand Energy and Efficiency Conservation Strategy, Ministry for Economic Development, August 2011</w:t>
      </w:r>
    </w:p>
    <w:p w:rsidR="006A2DCC" w:rsidRDefault="006A2DCC" w:rsidP="006A2DCC">
      <w:pPr>
        <w:spacing w:line="240" w:lineRule="auto"/>
        <w:rPr>
          <w:rFonts w:ascii="Arial" w:hAnsi="Arial" w:cs="Arial"/>
        </w:rPr>
      </w:pPr>
      <w:proofErr w:type="gramStart"/>
      <w:r>
        <w:rPr>
          <w:rFonts w:ascii="Arial" w:hAnsi="Arial" w:cs="Arial"/>
        </w:rPr>
        <w:t>EGR (2013).</w:t>
      </w:r>
      <w:proofErr w:type="gramEnd"/>
      <w:r>
        <w:rPr>
          <w:rFonts w:ascii="Arial" w:hAnsi="Arial" w:cs="Arial"/>
        </w:rPr>
        <w:t xml:space="preserve"> The Annual Emissions Gap Report 2013, United Nations Environment Programme, November 2013</w:t>
      </w:r>
    </w:p>
    <w:p w:rsidR="00F53E6B" w:rsidRDefault="00F53E6B" w:rsidP="006A2DCC">
      <w:pPr>
        <w:spacing w:line="240" w:lineRule="auto"/>
        <w:rPr>
          <w:rFonts w:ascii="Arial" w:hAnsi="Arial" w:cs="Arial"/>
        </w:rPr>
      </w:pPr>
      <w:proofErr w:type="gramStart"/>
      <w:r>
        <w:rPr>
          <w:rFonts w:ascii="Arial" w:hAnsi="Arial" w:cs="Arial"/>
        </w:rPr>
        <w:t>EST (2013).</w:t>
      </w:r>
      <w:proofErr w:type="gramEnd"/>
      <w:r>
        <w:rPr>
          <w:rFonts w:ascii="Arial" w:hAnsi="Arial" w:cs="Arial"/>
        </w:rPr>
        <w:t xml:space="preserve"> </w:t>
      </w:r>
      <w:proofErr w:type="gramStart"/>
      <w:r>
        <w:rPr>
          <w:rFonts w:ascii="Arial" w:hAnsi="Arial" w:cs="Arial"/>
        </w:rPr>
        <w:t>Smarter Driving, Energy Saving Trust, UK.</w:t>
      </w:r>
      <w:proofErr w:type="gramEnd"/>
      <w:r>
        <w:rPr>
          <w:rFonts w:ascii="Arial" w:hAnsi="Arial" w:cs="Arial"/>
        </w:rPr>
        <w:t xml:space="preserve"> </w:t>
      </w:r>
      <w:r w:rsidR="00C619FD">
        <w:rPr>
          <w:rFonts w:ascii="Arial" w:hAnsi="Arial" w:cs="Arial"/>
        </w:rPr>
        <w:t>www.energysavingtrust.org.uk/Organisations/Transport/Products-and-services/Smarter-Driving</w:t>
      </w:r>
    </w:p>
    <w:p w:rsidR="00815AEE" w:rsidRDefault="00815AEE" w:rsidP="00815AEE">
      <w:pPr>
        <w:spacing w:line="240" w:lineRule="auto"/>
        <w:rPr>
          <w:rFonts w:ascii="Arial" w:hAnsi="Arial" w:cs="Arial"/>
        </w:rPr>
      </w:pPr>
      <w:proofErr w:type="gramStart"/>
      <w:r>
        <w:rPr>
          <w:rFonts w:ascii="Arial" w:hAnsi="Arial" w:cs="Arial"/>
        </w:rPr>
        <w:t>GPS (2011).</w:t>
      </w:r>
      <w:proofErr w:type="gramEnd"/>
      <w:r>
        <w:rPr>
          <w:rFonts w:ascii="Arial" w:hAnsi="Arial" w:cs="Arial"/>
        </w:rPr>
        <w:t xml:space="preserve"> </w:t>
      </w:r>
      <w:proofErr w:type="gramStart"/>
      <w:r>
        <w:rPr>
          <w:rFonts w:ascii="Arial" w:hAnsi="Arial" w:cs="Arial"/>
        </w:rPr>
        <w:t>Government Policy Statement on Land Transport Funding 2012/13-2021/22, July 2011.</w:t>
      </w:r>
      <w:proofErr w:type="gramEnd"/>
      <w:r>
        <w:rPr>
          <w:rFonts w:ascii="Arial" w:hAnsi="Arial" w:cs="Arial"/>
        </w:rPr>
        <w:t xml:space="preserve"> www.newzealandgovernment.com</w:t>
      </w:r>
    </w:p>
    <w:p w:rsidR="00052C1F" w:rsidRDefault="00052C1F" w:rsidP="00815AEE">
      <w:pPr>
        <w:spacing w:line="240" w:lineRule="auto"/>
        <w:rPr>
          <w:rFonts w:ascii="Arial" w:hAnsi="Arial" w:cs="Arial"/>
        </w:rPr>
      </w:pPr>
      <w:proofErr w:type="gramStart"/>
      <w:r>
        <w:rPr>
          <w:rFonts w:ascii="Arial" w:hAnsi="Arial" w:cs="Arial"/>
        </w:rPr>
        <w:t>IEA (2011).</w:t>
      </w:r>
      <w:proofErr w:type="gramEnd"/>
      <w:r>
        <w:rPr>
          <w:rFonts w:ascii="Arial" w:hAnsi="Arial" w:cs="Arial"/>
        </w:rPr>
        <w:t xml:space="preserve"> International Energy Agency Technology Roadmap – </w:t>
      </w:r>
      <w:proofErr w:type="spellStart"/>
      <w:r>
        <w:rPr>
          <w:rFonts w:ascii="Arial" w:hAnsi="Arial" w:cs="Arial"/>
        </w:rPr>
        <w:t>Biofuels</w:t>
      </w:r>
      <w:proofErr w:type="spellEnd"/>
      <w:r>
        <w:rPr>
          <w:rFonts w:ascii="Arial" w:hAnsi="Arial" w:cs="Arial"/>
        </w:rPr>
        <w:t xml:space="preserve"> for Transport, 20 April 2011. www.iea.org/roadmaps/</w:t>
      </w:r>
    </w:p>
    <w:p w:rsidR="00052C1F" w:rsidRDefault="00052C1F" w:rsidP="00815AEE">
      <w:pPr>
        <w:spacing w:line="240" w:lineRule="auto"/>
        <w:rPr>
          <w:rFonts w:ascii="Arial" w:hAnsi="Arial" w:cs="Arial"/>
        </w:rPr>
      </w:pPr>
      <w:proofErr w:type="gramStart"/>
      <w:r>
        <w:rPr>
          <w:rFonts w:ascii="Arial" w:hAnsi="Arial" w:cs="Arial"/>
        </w:rPr>
        <w:t>IPCC (2013).</w:t>
      </w:r>
      <w:proofErr w:type="gramEnd"/>
      <w:r>
        <w:rPr>
          <w:rFonts w:ascii="Arial" w:hAnsi="Arial" w:cs="Arial"/>
        </w:rPr>
        <w:t xml:space="preserve"> Working Group 1 Contribution to the IPCC Fifth Assessment Report Climate Change 2013: The Physical Science Bases, Final Draft underlying Scientific-Technical Assessment, Chapter 13 – Sea Level Change, 30 September 2013, IPCC </w:t>
      </w:r>
    </w:p>
    <w:p w:rsidR="00217CD4" w:rsidRDefault="00217CD4" w:rsidP="00815AEE">
      <w:pPr>
        <w:spacing w:line="240" w:lineRule="auto"/>
        <w:rPr>
          <w:rFonts w:ascii="Arial" w:hAnsi="Arial" w:cs="Arial"/>
        </w:rPr>
      </w:pPr>
      <w:proofErr w:type="gramStart"/>
      <w:r>
        <w:rPr>
          <w:rFonts w:ascii="Arial" w:hAnsi="Arial" w:cs="Arial"/>
        </w:rPr>
        <w:t>MBIE</w:t>
      </w:r>
      <w:r w:rsidR="00534421">
        <w:rPr>
          <w:rFonts w:ascii="Arial" w:hAnsi="Arial" w:cs="Arial"/>
        </w:rPr>
        <w:t xml:space="preserve"> (</w:t>
      </w:r>
      <w:r>
        <w:rPr>
          <w:rFonts w:ascii="Arial" w:hAnsi="Arial" w:cs="Arial"/>
        </w:rPr>
        <w:t>2011</w:t>
      </w:r>
      <w:r w:rsidR="00534421">
        <w:rPr>
          <w:rFonts w:ascii="Arial" w:hAnsi="Arial" w:cs="Arial"/>
        </w:rPr>
        <w:t>)</w:t>
      </w:r>
      <w:r>
        <w:rPr>
          <w:rFonts w:ascii="Arial" w:hAnsi="Arial" w:cs="Arial"/>
        </w:rPr>
        <w:t>.</w:t>
      </w:r>
      <w:proofErr w:type="gramEnd"/>
      <w:r>
        <w:rPr>
          <w:rFonts w:ascii="Arial" w:hAnsi="Arial" w:cs="Arial"/>
        </w:rPr>
        <w:t xml:space="preserve"> New Zealand Energy Greenhouse Gas Emissions: 2011 Calendar Year Edition, Ministry of Business, Innovation and Empl</w:t>
      </w:r>
      <w:r w:rsidR="00534421">
        <w:rPr>
          <w:rFonts w:ascii="Arial" w:hAnsi="Arial" w:cs="Arial"/>
        </w:rPr>
        <w:t>o</w:t>
      </w:r>
      <w:r>
        <w:rPr>
          <w:rFonts w:ascii="Arial" w:hAnsi="Arial" w:cs="Arial"/>
        </w:rPr>
        <w:t>yment</w:t>
      </w:r>
    </w:p>
    <w:p w:rsidR="00A425C2" w:rsidRDefault="00727BD6" w:rsidP="00815AEE">
      <w:pPr>
        <w:pStyle w:val="FootnoteText"/>
        <w:rPr>
          <w:rFonts w:ascii="Arial" w:hAnsi="Arial" w:cs="Arial"/>
          <w:sz w:val="22"/>
          <w:szCs w:val="22"/>
        </w:rPr>
      </w:pPr>
      <w:proofErr w:type="spellStart"/>
      <w:proofErr w:type="gramStart"/>
      <w:r>
        <w:rPr>
          <w:rFonts w:ascii="Arial" w:hAnsi="Arial" w:cs="Arial"/>
          <w:sz w:val="22"/>
          <w:szCs w:val="22"/>
        </w:rPr>
        <w:t>MfE</w:t>
      </w:r>
      <w:proofErr w:type="spellEnd"/>
      <w:r>
        <w:rPr>
          <w:rFonts w:ascii="Arial" w:hAnsi="Arial" w:cs="Arial"/>
          <w:sz w:val="22"/>
          <w:szCs w:val="22"/>
        </w:rPr>
        <w:t xml:space="preserve"> (2009).</w:t>
      </w:r>
      <w:proofErr w:type="gramEnd"/>
      <w:r>
        <w:rPr>
          <w:rFonts w:ascii="Arial" w:hAnsi="Arial" w:cs="Arial"/>
          <w:sz w:val="22"/>
          <w:szCs w:val="22"/>
        </w:rPr>
        <w:t xml:space="preserve"> </w:t>
      </w:r>
      <w:r w:rsidR="00A425C2" w:rsidRPr="00A425C2">
        <w:rPr>
          <w:rFonts w:ascii="Arial" w:hAnsi="Arial" w:cs="Arial"/>
          <w:sz w:val="22"/>
          <w:szCs w:val="22"/>
        </w:rPr>
        <w:t>New Zealand’s 2020 Emissions Target, July 2009, INFO 422, Ministry for the Environment</w:t>
      </w:r>
    </w:p>
    <w:p w:rsidR="00534421" w:rsidRPr="00A425C2" w:rsidRDefault="00534421" w:rsidP="00815AEE">
      <w:pPr>
        <w:pStyle w:val="FootnoteText"/>
        <w:rPr>
          <w:rFonts w:ascii="Arial" w:hAnsi="Arial" w:cs="Arial"/>
          <w:sz w:val="22"/>
          <w:szCs w:val="22"/>
        </w:rPr>
      </w:pPr>
    </w:p>
    <w:p w:rsidR="00A425C2" w:rsidRDefault="00727BD6" w:rsidP="00815AEE">
      <w:pPr>
        <w:pStyle w:val="EndnoteText"/>
        <w:rPr>
          <w:rFonts w:ascii="Arial" w:hAnsi="Arial" w:cs="Arial"/>
          <w:sz w:val="22"/>
          <w:szCs w:val="22"/>
        </w:rPr>
      </w:pPr>
      <w:proofErr w:type="spellStart"/>
      <w:proofErr w:type="gramStart"/>
      <w:r>
        <w:rPr>
          <w:rFonts w:ascii="Arial" w:hAnsi="Arial" w:cs="Arial"/>
          <w:sz w:val="22"/>
          <w:szCs w:val="22"/>
        </w:rPr>
        <w:t>MfE</w:t>
      </w:r>
      <w:proofErr w:type="spellEnd"/>
      <w:r>
        <w:rPr>
          <w:rFonts w:ascii="Arial" w:hAnsi="Arial" w:cs="Arial"/>
          <w:sz w:val="22"/>
          <w:szCs w:val="22"/>
        </w:rPr>
        <w:t xml:space="preserve"> (2013).</w:t>
      </w:r>
      <w:proofErr w:type="gramEnd"/>
      <w:r>
        <w:rPr>
          <w:rFonts w:ascii="Arial" w:hAnsi="Arial" w:cs="Arial"/>
          <w:sz w:val="22"/>
          <w:szCs w:val="22"/>
        </w:rPr>
        <w:t xml:space="preserve"> </w:t>
      </w:r>
      <w:r w:rsidR="00A425C2" w:rsidRPr="00A425C2">
        <w:rPr>
          <w:rFonts w:ascii="Arial" w:hAnsi="Arial" w:cs="Arial"/>
          <w:sz w:val="22"/>
          <w:szCs w:val="22"/>
        </w:rPr>
        <w:t>New Zealand’s Greenhouse Gas Inventory 1990-2011 and Net Position: Snapshot April 2013, Ministry for the Environment</w:t>
      </w:r>
    </w:p>
    <w:p w:rsidR="00815AEE" w:rsidRDefault="00815AEE" w:rsidP="00815AEE">
      <w:pPr>
        <w:pStyle w:val="EndnoteText"/>
        <w:rPr>
          <w:rFonts w:ascii="Arial" w:hAnsi="Arial" w:cs="Arial"/>
          <w:sz w:val="22"/>
          <w:szCs w:val="22"/>
        </w:rPr>
      </w:pPr>
    </w:p>
    <w:p w:rsidR="00815AEE" w:rsidRPr="00815AEE" w:rsidRDefault="00815AEE" w:rsidP="00815AEE">
      <w:pPr>
        <w:pStyle w:val="EndnoteText"/>
        <w:rPr>
          <w:rFonts w:ascii="Arial" w:hAnsi="Arial" w:cs="Arial"/>
          <w:sz w:val="22"/>
          <w:szCs w:val="22"/>
        </w:rPr>
      </w:pPr>
      <w:proofErr w:type="gramStart"/>
      <w:r w:rsidRPr="00815AEE">
        <w:rPr>
          <w:rFonts w:ascii="Arial" w:hAnsi="Arial" w:cs="Arial"/>
          <w:sz w:val="22"/>
          <w:szCs w:val="22"/>
        </w:rPr>
        <w:t>NZES (2011).</w:t>
      </w:r>
      <w:proofErr w:type="gramEnd"/>
      <w:r w:rsidRPr="00815AEE">
        <w:rPr>
          <w:rFonts w:ascii="Arial" w:hAnsi="Arial" w:cs="Arial"/>
          <w:sz w:val="22"/>
          <w:szCs w:val="22"/>
        </w:rPr>
        <w:t xml:space="preserve"> New Zealand Energy Strategy, Ministry for Economic Development, August 2011</w:t>
      </w:r>
    </w:p>
    <w:p w:rsidR="00A43CCA" w:rsidRPr="00A425C2" w:rsidRDefault="00A43CCA" w:rsidP="00815AEE">
      <w:pPr>
        <w:pStyle w:val="EndnoteText"/>
        <w:rPr>
          <w:rFonts w:ascii="Arial" w:hAnsi="Arial" w:cs="Arial"/>
          <w:sz w:val="22"/>
          <w:szCs w:val="22"/>
        </w:rPr>
      </w:pPr>
    </w:p>
    <w:p w:rsidR="00EB58CF" w:rsidRDefault="007D1FBB" w:rsidP="00815AEE">
      <w:pPr>
        <w:spacing w:line="240" w:lineRule="auto"/>
        <w:rPr>
          <w:rFonts w:ascii="Arial" w:hAnsi="Arial" w:cs="Arial"/>
        </w:rPr>
      </w:pPr>
      <w:proofErr w:type="gramStart"/>
      <w:r>
        <w:rPr>
          <w:rFonts w:ascii="Arial" w:hAnsi="Arial" w:cs="Arial"/>
        </w:rPr>
        <w:t>R</w:t>
      </w:r>
      <w:r w:rsidR="00727BD6">
        <w:rPr>
          <w:rFonts w:ascii="Arial" w:hAnsi="Arial" w:cs="Arial"/>
        </w:rPr>
        <w:t>EN21 (2013).</w:t>
      </w:r>
      <w:proofErr w:type="gramEnd"/>
      <w:r w:rsidR="00727BD6">
        <w:rPr>
          <w:rFonts w:ascii="Arial" w:hAnsi="Arial" w:cs="Arial"/>
        </w:rPr>
        <w:t xml:space="preserve"> </w:t>
      </w:r>
      <w:r w:rsidR="00EB58CF">
        <w:rPr>
          <w:rFonts w:ascii="Arial" w:hAnsi="Arial" w:cs="Arial"/>
        </w:rPr>
        <w:t xml:space="preserve">REN21 </w:t>
      </w:r>
      <w:proofErr w:type="spellStart"/>
      <w:r w:rsidR="00EB58CF">
        <w:rPr>
          <w:rFonts w:ascii="Arial" w:hAnsi="Arial" w:cs="Arial"/>
        </w:rPr>
        <w:t>Renewables</w:t>
      </w:r>
      <w:proofErr w:type="spellEnd"/>
      <w:r w:rsidR="009C7BFC">
        <w:rPr>
          <w:rFonts w:ascii="Arial" w:hAnsi="Arial" w:cs="Arial"/>
        </w:rPr>
        <w:t xml:space="preserve"> 2013</w:t>
      </w:r>
      <w:r w:rsidR="00EB58CF">
        <w:rPr>
          <w:rFonts w:ascii="Arial" w:hAnsi="Arial" w:cs="Arial"/>
        </w:rPr>
        <w:t xml:space="preserve"> Global Futures Report </w:t>
      </w:r>
    </w:p>
    <w:p w:rsidR="00052C1F" w:rsidRPr="006A2DCC" w:rsidRDefault="00052C1F" w:rsidP="00815AEE">
      <w:pPr>
        <w:pStyle w:val="FootnoteText"/>
        <w:rPr>
          <w:rFonts w:ascii="Arial" w:hAnsi="Arial" w:cs="Arial"/>
          <w:sz w:val="22"/>
          <w:szCs w:val="22"/>
        </w:rPr>
      </w:pPr>
      <w:r w:rsidRPr="00A425C2">
        <w:rPr>
          <w:rFonts w:ascii="Arial" w:hAnsi="Arial" w:cs="Arial"/>
          <w:sz w:val="22"/>
          <w:szCs w:val="22"/>
        </w:rPr>
        <w:t xml:space="preserve">Refining NZ website </w:t>
      </w:r>
      <w:hyperlink r:id="rId17" w:history="1">
        <w:r w:rsidR="006A2DCC" w:rsidRPr="006A2DCC">
          <w:rPr>
            <w:rStyle w:val="Hyperlink"/>
            <w:rFonts w:ascii="Arial" w:hAnsi="Arial" w:cs="Arial"/>
            <w:color w:val="auto"/>
            <w:sz w:val="22"/>
            <w:szCs w:val="22"/>
            <w:u w:val="none"/>
          </w:rPr>
          <w:t>www.refiningnz.com</w:t>
        </w:r>
      </w:hyperlink>
    </w:p>
    <w:p w:rsidR="006A2DCC" w:rsidRPr="00A425C2" w:rsidRDefault="006A2DCC" w:rsidP="00815AEE">
      <w:pPr>
        <w:pStyle w:val="FootnoteText"/>
        <w:rPr>
          <w:rFonts w:ascii="Arial" w:hAnsi="Arial" w:cs="Arial"/>
          <w:sz w:val="22"/>
          <w:szCs w:val="22"/>
        </w:rPr>
      </w:pPr>
    </w:p>
    <w:p w:rsidR="00815AEE" w:rsidRDefault="00815AEE" w:rsidP="00815AEE">
      <w:pPr>
        <w:spacing w:line="240" w:lineRule="auto"/>
        <w:rPr>
          <w:rFonts w:ascii="Arial" w:hAnsi="Arial" w:cs="Arial"/>
        </w:rPr>
      </w:pPr>
      <w:proofErr w:type="gramStart"/>
      <w:r>
        <w:rPr>
          <w:rFonts w:ascii="Arial" w:hAnsi="Arial" w:cs="Arial"/>
        </w:rPr>
        <w:t>ULT (2013).</w:t>
      </w:r>
      <w:proofErr w:type="gramEnd"/>
      <w:r>
        <w:rPr>
          <w:rFonts w:ascii="Arial" w:hAnsi="Arial" w:cs="Arial"/>
        </w:rPr>
        <w:t xml:space="preserve"> </w:t>
      </w:r>
      <w:proofErr w:type="spellStart"/>
      <w:r>
        <w:rPr>
          <w:rFonts w:ascii="Arial" w:hAnsi="Arial" w:cs="Arial"/>
        </w:rPr>
        <w:t>ULTra</w:t>
      </w:r>
      <w:proofErr w:type="spellEnd"/>
      <w:r>
        <w:rPr>
          <w:rFonts w:ascii="Arial" w:hAnsi="Arial" w:cs="Arial"/>
        </w:rPr>
        <w:t xml:space="preserve"> global website www.ultragloba</w:t>
      </w:r>
      <w:r w:rsidR="006A2DCC">
        <w:rPr>
          <w:rFonts w:ascii="Arial" w:hAnsi="Arial" w:cs="Arial"/>
        </w:rPr>
        <w:t>lprt.com</w:t>
      </w:r>
    </w:p>
    <w:p w:rsidR="00052C1F" w:rsidRDefault="00052C1F" w:rsidP="00815AEE">
      <w:pPr>
        <w:spacing w:line="240" w:lineRule="auto"/>
        <w:rPr>
          <w:rFonts w:ascii="Arial" w:hAnsi="Arial" w:cs="Arial"/>
        </w:rPr>
      </w:pPr>
      <w:proofErr w:type="gramStart"/>
      <w:r>
        <w:rPr>
          <w:rFonts w:ascii="Arial" w:hAnsi="Arial" w:cs="Arial"/>
        </w:rPr>
        <w:t>WB (2013).</w:t>
      </w:r>
      <w:proofErr w:type="gramEnd"/>
      <w:r>
        <w:rPr>
          <w:rFonts w:ascii="Arial" w:hAnsi="Arial" w:cs="Arial"/>
        </w:rPr>
        <w:t xml:space="preserve"> World Bank Transport Paper TP-40, February 2013, Controlling Greenhouse Gas Emissions Generated by the Transport Sector in ECA: Policy Options, Carolina </w:t>
      </w:r>
      <w:proofErr w:type="spellStart"/>
      <w:r>
        <w:rPr>
          <w:rFonts w:ascii="Arial" w:hAnsi="Arial" w:cs="Arial"/>
        </w:rPr>
        <w:t>Monsalve</w:t>
      </w:r>
      <w:proofErr w:type="spellEnd"/>
      <w:r>
        <w:rPr>
          <w:rFonts w:ascii="Arial" w:hAnsi="Arial" w:cs="Arial"/>
        </w:rPr>
        <w:t xml:space="preserve">, </w:t>
      </w:r>
      <w:proofErr w:type="gramStart"/>
      <w:r>
        <w:rPr>
          <w:rFonts w:ascii="Arial" w:hAnsi="Arial" w:cs="Arial"/>
        </w:rPr>
        <w:t>The</w:t>
      </w:r>
      <w:proofErr w:type="gramEnd"/>
      <w:r>
        <w:rPr>
          <w:rFonts w:ascii="Arial" w:hAnsi="Arial" w:cs="Arial"/>
        </w:rPr>
        <w:t xml:space="preserve"> World Bank, Washington, DC</w:t>
      </w:r>
    </w:p>
    <w:p w:rsidR="00052C1F" w:rsidRPr="00AF5DBA" w:rsidRDefault="00052C1F" w:rsidP="006A2DCC">
      <w:pPr>
        <w:spacing w:line="240" w:lineRule="auto"/>
        <w:rPr>
          <w:rFonts w:ascii="Arial" w:hAnsi="Arial" w:cs="Arial"/>
        </w:rPr>
      </w:pPr>
      <w:proofErr w:type="gramStart"/>
      <w:r>
        <w:rPr>
          <w:rFonts w:ascii="Arial" w:hAnsi="Arial" w:cs="Arial"/>
        </w:rPr>
        <w:t>WMO (2013).</w:t>
      </w:r>
      <w:proofErr w:type="gramEnd"/>
      <w:r>
        <w:rPr>
          <w:rFonts w:ascii="Arial" w:hAnsi="Arial" w:cs="Arial"/>
        </w:rPr>
        <w:t xml:space="preserve"> </w:t>
      </w:r>
      <w:proofErr w:type="gramStart"/>
      <w:r>
        <w:rPr>
          <w:rFonts w:ascii="Arial" w:hAnsi="Arial" w:cs="Arial"/>
        </w:rPr>
        <w:t>World Meteorological Organisation press release “Greenhouse Gas concentrations in Atmosphere Reach New Record”, Geneva, 6 November 2013.</w:t>
      </w:r>
      <w:proofErr w:type="gramEnd"/>
      <w:r>
        <w:rPr>
          <w:rFonts w:ascii="Arial" w:hAnsi="Arial" w:cs="Arial"/>
        </w:rPr>
        <w:t xml:space="preserve"> </w:t>
      </w:r>
      <w:hyperlink r:id="rId18" w:history="1">
        <w:r w:rsidR="00AF5DBA" w:rsidRPr="00AF5DBA">
          <w:rPr>
            <w:rStyle w:val="Hyperlink"/>
            <w:rFonts w:ascii="Arial" w:hAnsi="Arial" w:cs="Arial"/>
            <w:color w:val="auto"/>
            <w:u w:val="none"/>
          </w:rPr>
          <w:t>www.wmo.int/pages/mediacentre/press_releases/pr_980_en.html</w:t>
        </w:r>
      </w:hyperlink>
    </w:p>
    <w:p w:rsidR="00AF5DBA" w:rsidRDefault="00AF5DBA" w:rsidP="006A2DCC">
      <w:pPr>
        <w:spacing w:line="240" w:lineRule="auto"/>
        <w:rPr>
          <w:rFonts w:ascii="Arial" w:hAnsi="Arial" w:cs="Arial"/>
        </w:rPr>
      </w:pPr>
    </w:p>
    <w:p w:rsidR="00906402" w:rsidRDefault="00906402" w:rsidP="006A2DCC">
      <w:pPr>
        <w:spacing w:line="240" w:lineRule="auto"/>
        <w:rPr>
          <w:rFonts w:ascii="Arial" w:hAnsi="Arial" w:cs="Arial"/>
        </w:rPr>
      </w:pPr>
    </w:p>
    <w:p w:rsidR="00AF5DBA" w:rsidRPr="00AF5DBA" w:rsidRDefault="00AF5DBA" w:rsidP="006A2DCC">
      <w:pPr>
        <w:spacing w:line="240" w:lineRule="auto"/>
        <w:rPr>
          <w:rFonts w:ascii="Arial" w:hAnsi="Arial" w:cs="Arial"/>
          <w:b/>
          <w:sz w:val="28"/>
          <w:szCs w:val="28"/>
        </w:rPr>
      </w:pPr>
      <w:r w:rsidRPr="00AF5DBA">
        <w:rPr>
          <w:rFonts w:ascii="Arial" w:hAnsi="Arial" w:cs="Arial"/>
          <w:b/>
          <w:sz w:val="28"/>
          <w:szCs w:val="28"/>
        </w:rPr>
        <w:t>ACKNOWLEDGMENTS</w:t>
      </w:r>
      <w:r>
        <w:rPr>
          <w:rFonts w:ascii="Arial" w:hAnsi="Arial" w:cs="Arial"/>
          <w:b/>
          <w:sz w:val="28"/>
          <w:szCs w:val="28"/>
        </w:rPr>
        <w:t xml:space="preserve"> </w:t>
      </w:r>
    </w:p>
    <w:p w:rsidR="00AF5DBA" w:rsidRDefault="000A004B" w:rsidP="006A2DCC">
      <w:pPr>
        <w:spacing w:line="240" w:lineRule="auto"/>
        <w:rPr>
          <w:rFonts w:ascii="Arial" w:hAnsi="Arial" w:cs="Arial"/>
        </w:rPr>
      </w:pPr>
      <w:r>
        <w:rPr>
          <w:rFonts w:ascii="Arial" w:hAnsi="Arial" w:cs="Arial"/>
        </w:rPr>
        <w:t xml:space="preserve">The original </w:t>
      </w:r>
      <w:r w:rsidR="003252DF">
        <w:rPr>
          <w:rFonts w:ascii="Arial" w:hAnsi="Arial" w:cs="Arial"/>
        </w:rPr>
        <w:t>catalyst</w:t>
      </w:r>
      <w:r>
        <w:rPr>
          <w:rFonts w:ascii="Arial" w:hAnsi="Arial" w:cs="Arial"/>
        </w:rPr>
        <w:t xml:space="preserve"> for this paper is work undertaken as committee member of Engineers for Social Responsibility to assist ESR in preparing discussion papers relating to climate change and the related issue of energy security. The author would like to thank</w:t>
      </w:r>
      <w:r w:rsidR="00A31BC2">
        <w:rPr>
          <w:rFonts w:ascii="Arial" w:hAnsi="Arial" w:cs="Arial"/>
        </w:rPr>
        <w:t xml:space="preserve"> Don Houghton for reviewing the paper, and </w:t>
      </w:r>
      <w:r>
        <w:rPr>
          <w:rFonts w:ascii="Arial" w:hAnsi="Arial" w:cs="Arial"/>
        </w:rPr>
        <w:t xml:space="preserve">John Blakeley, Ian Montanjees, Peter Whitmore, </w:t>
      </w:r>
      <w:r w:rsidR="00A31BC2">
        <w:rPr>
          <w:rFonts w:ascii="Arial" w:hAnsi="Arial" w:cs="Arial"/>
        </w:rPr>
        <w:t>Lawrence Carter and</w:t>
      </w:r>
      <w:r>
        <w:rPr>
          <w:rFonts w:ascii="Arial" w:hAnsi="Arial" w:cs="Arial"/>
        </w:rPr>
        <w:t xml:space="preserve"> John La Roche</w:t>
      </w:r>
      <w:r w:rsidR="00A31BC2">
        <w:rPr>
          <w:rFonts w:ascii="Arial" w:hAnsi="Arial" w:cs="Arial"/>
        </w:rPr>
        <w:t xml:space="preserve"> for their valuable contributions</w:t>
      </w:r>
      <w:r>
        <w:rPr>
          <w:rFonts w:ascii="Arial" w:hAnsi="Arial" w:cs="Arial"/>
        </w:rPr>
        <w:t xml:space="preserve"> </w:t>
      </w:r>
      <w:r w:rsidR="00A31BC2">
        <w:rPr>
          <w:rFonts w:ascii="Arial" w:hAnsi="Arial" w:cs="Arial"/>
        </w:rPr>
        <w:t>and encouragement.</w:t>
      </w:r>
    </w:p>
    <w:p w:rsidR="007F2B59" w:rsidRDefault="007F2B59" w:rsidP="006A2DCC">
      <w:pPr>
        <w:spacing w:line="240" w:lineRule="auto"/>
        <w:rPr>
          <w:rFonts w:ascii="Arial" w:hAnsi="Arial" w:cs="Arial"/>
        </w:rPr>
      </w:pPr>
    </w:p>
    <w:sectPr w:rsidR="007F2B59" w:rsidSect="00D56C88">
      <w:pgSz w:w="11906" w:h="16838"/>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B3F" w:rsidRDefault="00324B3F" w:rsidP="00CE691A">
      <w:pPr>
        <w:spacing w:after="0" w:line="240" w:lineRule="auto"/>
      </w:pPr>
      <w:r>
        <w:separator/>
      </w:r>
    </w:p>
  </w:endnote>
  <w:endnote w:type="continuationSeparator" w:id="0">
    <w:p w:rsidR="00324B3F" w:rsidRDefault="00324B3F" w:rsidP="00CE6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A3" w:rsidRPr="00CC15A3" w:rsidRDefault="00CC15A3">
    <w:pPr>
      <w:pStyle w:val="Footer"/>
      <w:rPr>
        <w:i/>
      </w:rPr>
    </w:pPr>
    <w:r w:rsidRPr="00CC15A3">
      <w:rPr>
        <w:i/>
      </w:rPr>
      <w:t>IPENZ Transportation Group Conference, Shed 6, Wellington – 23 – 26 March,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B3F" w:rsidRDefault="00324B3F" w:rsidP="00CE691A">
      <w:pPr>
        <w:spacing w:after="0" w:line="240" w:lineRule="auto"/>
      </w:pPr>
      <w:r>
        <w:separator/>
      </w:r>
    </w:p>
  </w:footnote>
  <w:footnote w:type="continuationSeparator" w:id="0">
    <w:p w:rsidR="00324B3F" w:rsidRDefault="00324B3F" w:rsidP="00CE691A">
      <w:pPr>
        <w:spacing w:after="0" w:line="240" w:lineRule="auto"/>
      </w:pPr>
      <w:r>
        <w:continuationSeparator/>
      </w:r>
    </w:p>
  </w:footnote>
  <w:footnote w:id="1">
    <w:p w:rsidR="009460F0" w:rsidRDefault="009460F0">
      <w:pPr>
        <w:pStyle w:val="FootnoteText"/>
      </w:pPr>
      <w:r>
        <w:rPr>
          <w:rStyle w:val="FootnoteReference"/>
        </w:rPr>
        <w:footnoteRef/>
      </w:r>
      <w:r>
        <w:t xml:space="preserve"> Thermal expansion is the tendency for matter to change in volume in response to a change in temperature</w:t>
      </w:r>
    </w:p>
  </w:footnote>
  <w:footnote w:id="2">
    <w:p w:rsidR="009460F0" w:rsidRDefault="009460F0">
      <w:pPr>
        <w:pStyle w:val="FootnoteText"/>
      </w:pPr>
      <w:r>
        <w:rPr>
          <w:rStyle w:val="FootnoteReference"/>
        </w:rPr>
        <w:footnoteRef/>
      </w:r>
      <w:r>
        <w:t xml:space="preserve"> Adjusted to take into account international units surrendered under the NZ ETS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u w:val="single"/>
      </w:rPr>
      <w:id w:val="565053189"/>
      <w:docPartObj>
        <w:docPartGallery w:val="Page Numbers (Top of Page)"/>
        <w:docPartUnique/>
      </w:docPartObj>
    </w:sdtPr>
    <w:sdtContent>
      <w:p w:rsidR="004375E0" w:rsidRPr="00CC15A3" w:rsidRDefault="004375E0" w:rsidP="004375E0">
        <w:pPr>
          <w:pStyle w:val="Header"/>
          <w:rPr>
            <w:i/>
            <w:u w:val="single"/>
          </w:rPr>
        </w:pPr>
        <w:r w:rsidRPr="00CC15A3">
          <w:rPr>
            <w:i/>
            <w:u w:val="single"/>
          </w:rPr>
          <w:t>Climate change and energy security</w:t>
        </w:r>
        <w:r w:rsidRPr="00CC15A3">
          <w:rPr>
            <w:i/>
            <w:u w:val="single"/>
          </w:rPr>
          <w:tab/>
          <w:t>Ross Rutherford</w:t>
        </w:r>
        <w:r w:rsidRPr="00CC15A3">
          <w:rPr>
            <w:i/>
            <w:u w:val="single"/>
          </w:rPr>
          <w:tab/>
          <w:t xml:space="preserve">Page </w:t>
        </w:r>
        <w:r w:rsidRPr="00CC15A3">
          <w:rPr>
            <w:b/>
            <w:i/>
            <w:sz w:val="24"/>
            <w:szCs w:val="24"/>
            <w:u w:val="single"/>
          </w:rPr>
          <w:fldChar w:fldCharType="begin"/>
        </w:r>
        <w:r w:rsidRPr="00CC15A3">
          <w:rPr>
            <w:b/>
            <w:i/>
            <w:u w:val="single"/>
          </w:rPr>
          <w:instrText xml:space="preserve"> PAGE </w:instrText>
        </w:r>
        <w:r w:rsidRPr="00CC15A3">
          <w:rPr>
            <w:b/>
            <w:i/>
            <w:sz w:val="24"/>
            <w:szCs w:val="24"/>
            <w:u w:val="single"/>
          </w:rPr>
          <w:fldChar w:fldCharType="separate"/>
        </w:r>
        <w:r w:rsidR="00CC15A3">
          <w:rPr>
            <w:b/>
            <w:i/>
            <w:noProof/>
            <w:u w:val="single"/>
          </w:rPr>
          <w:t>13</w:t>
        </w:r>
        <w:r w:rsidRPr="00CC15A3">
          <w:rPr>
            <w:b/>
            <w:i/>
            <w:sz w:val="24"/>
            <w:szCs w:val="24"/>
            <w:u w:val="single"/>
          </w:rPr>
          <w:fldChar w:fldCharType="end"/>
        </w:r>
        <w:r w:rsidRPr="00CC15A3">
          <w:rPr>
            <w:b/>
            <w:i/>
            <w:sz w:val="24"/>
            <w:szCs w:val="24"/>
            <w:u w:val="single"/>
          </w:rPr>
          <w:tab/>
        </w:r>
        <w:r w:rsidRPr="00CC15A3">
          <w:rPr>
            <w:i/>
            <w:u w:val="single"/>
          </w:rPr>
          <w:t xml:space="preserve"> </w:t>
        </w:r>
      </w:p>
    </w:sdtContent>
  </w:sdt>
  <w:p w:rsidR="00D56C88" w:rsidRPr="00D56C88" w:rsidRDefault="00D56C88">
    <w:pPr>
      <w:pStyle w:val="Head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7AB2"/>
    <w:multiLevelType w:val="hybridMultilevel"/>
    <w:tmpl w:val="A9A22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ECC24F5"/>
    <w:multiLevelType w:val="hybridMultilevel"/>
    <w:tmpl w:val="E6E0D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1656195"/>
    <w:multiLevelType w:val="hybridMultilevel"/>
    <w:tmpl w:val="CBD069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6473425"/>
    <w:multiLevelType w:val="hybridMultilevel"/>
    <w:tmpl w:val="5ACA5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B2B48C1"/>
    <w:multiLevelType w:val="hybridMultilevel"/>
    <w:tmpl w:val="AB08F954"/>
    <w:lvl w:ilvl="0" w:tplc="6D48E42A">
      <w:start w:val="1"/>
      <w:numFmt w:val="bullet"/>
      <w:lvlText w:val="•"/>
      <w:lvlJc w:val="left"/>
      <w:pPr>
        <w:tabs>
          <w:tab w:val="num" w:pos="720"/>
        </w:tabs>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5FB1253"/>
    <w:multiLevelType w:val="hybridMultilevel"/>
    <w:tmpl w:val="76D2ED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8DF1494"/>
    <w:multiLevelType w:val="hybridMultilevel"/>
    <w:tmpl w:val="3AEA88F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41C90B1C"/>
    <w:multiLevelType w:val="hybridMultilevel"/>
    <w:tmpl w:val="C102255E"/>
    <w:lvl w:ilvl="0" w:tplc="6D48E42A">
      <w:start w:val="1"/>
      <w:numFmt w:val="bullet"/>
      <w:lvlText w:val="•"/>
      <w:lvlJc w:val="left"/>
      <w:pPr>
        <w:tabs>
          <w:tab w:val="num" w:pos="720"/>
        </w:tabs>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D0205F0"/>
    <w:multiLevelType w:val="hybridMultilevel"/>
    <w:tmpl w:val="DEAAC332"/>
    <w:lvl w:ilvl="0" w:tplc="6D48E42A">
      <w:start w:val="1"/>
      <w:numFmt w:val="bullet"/>
      <w:lvlText w:val="•"/>
      <w:lvlJc w:val="left"/>
      <w:pPr>
        <w:tabs>
          <w:tab w:val="num" w:pos="720"/>
        </w:tabs>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F971D43"/>
    <w:multiLevelType w:val="hybridMultilevel"/>
    <w:tmpl w:val="7D4C6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2D02A08"/>
    <w:multiLevelType w:val="hybridMultilevel"/>
    <w:tmpl w:val="3E968C9C"/>
    <w:lvl w:ilvl="0" w:tplc="6D48E42A">
      <w:start w:val="1"/>
      <w:numFmt w:val="bullet"/>
      <w:lvlText w:val="•"/>
      <w:lvlJc w:val="left"/>
      <w:pPr>
        <w:tabs>
          <w:tab w:val="num" w:pos="720"/>
        </w:tabs>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3573B3C"/>
    <w:multiLevelType w:val="hybridMultilevel"/>
    <w:tmpl w:val="3F0AD07A"/>
    <w:lvl w:ilvl="0" w:tplc="6D48E42A">
      <w:start w:val="1"/>
      <w:numFmt w:val="bullet"/>
      <w:lvlText w:val="•"/>
      <w:lvlJc w:val="left"/>
      <w:pPr>
        <w:tabs>
          <w:tab w:val="num" w:pos="720"/>
        </w:tabs>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3E33E98"/>
    <w:multiLevelType w:val="hybridMultilevel"/>
    <w:tmpl w:val="155E1B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31D607A"/>
    <w:multiLevelType w:val="hybridMultilevel"/>
    <w:tmpl w:val="C6CAC4A0"/>
    <w:lvl w:ilvl="0" w:tplc="6D48E42A">
      <w:start w:val="1"/>
      <w:numFmt w:val="bullet"/>
      <w:lvlText w:val="•"/>
      <w:lvlJc w:val="left"/>
      <w:pPr>
        <w:tabs>
          <w:tab w:val="num" w:pos="720"/>
        </w:tabs>
        <w:ind w:left="720" w:hanging="360"/>
      </w:pPr>
      <w:rPr>
        <w:rFonts w:ascii="Times New Roman" w:hAnsi="Times New Roman" w:hint="default"/>
      </w:rPr>
    </w:lvl>
    <w:lvl w:ilvl="1" w:tplc="D57A5376" w:tentative="1">
      <w:start w:val="1"/>
      <w:numFmt w:val="bullet"/>
      <w:lvlText w:val="•"/>
      <w:lvlJc w:val="left"/>
      <w:pPr>
        <w:tabs>
          <w:tab w:val="num" w:pos="1440"/>
        </w:tabs>
        <w:ind w:left="1440" w:hanging="360"/>
      </w:pPr>
      <w:rPr>
        <w:rFonts w:ascii="Times New Roman" w:hAnsi="Times New Roman" w:hint="default"/>
      </w:rPr>
    </w:lvl>
    <w:lvl w:ilvl="2" w:tplc="649E6A26" w:tentative="1">
      <w:start w:val="1"/>
      <w:numFmt w:val="bullet"/>
      <w:lvlText w:val="•"/>
      <w:lvlJc w:val="left"/>
      <w:pPr>
        <w:tabs>
          <w:tab w:val="num" w:pos="2160"/>
        </w:tabs>
        <w:ind w:left="2160" w:hanging="360"/>
      </w:pPr>
      <w:rPr>
        <w:rFonts w:ascii="Times New Roman" w:hAnsi="Times New Roman" w:hint="default"/>
      </w:rPr>
    </w:lvl>
    <w:lvl w:ilvl="3" w:tplc="8EB2D190" w:tentative="1">
      <w:start w:val="1"/>
      <w:numFmt w:val="bullet"/>
      <w:lvlText w:val="•"/>
      <w:lvlJc w:val="left"/>
      <w:pPr>
        <w:tabs>
          <w:tab w:val="num" w:pos="2880"/>
        </w:tabs>
        <w:ind w:left="2880" w:hanging="360"/>
      </w:pPr>
      <w:rPr>
        <w:rFonts w:ascii="Times New Roman" w:hAnsi="Times New Roman" w:hint="default"/>
      </w:rPr>
    </w:lvl>
    <w:lvl w:ilvl="4" w:tplc="2CA8B0A6" w:tentative="1">
      <w:start w:val="1"/>
      <w:numFmt w:val="bullet"/>
      <w:lvlText w:val="•"/>
      <w:lvlJc w:val="left"/>
      <w:pPr>
        <w:tabs>
          <w:tab w:val="num" w:pos="3600"/>
        </w:tabs>
        <w:ind w:left="3600" w:hanging="360"/>
      </w:pPr>
      <w:rPr>
        <w:rFonts w:ascii="Times New Roman" w:hAnsi="Times New Roman" w:hint="default"/>
      </w:rPr>
    </w:lvl>
    <w:lvl w:ilvl="5" w:tplc="5E0A309C" w:tentative="1">
      <w:start w:val="1"/>
      <w:numFmt w:val="bullet"/>
      <w:lvlText w:val="•"/>
      <w:lvlJc w:val="left"/>
      <w:pPr>
        <w:tabs>
          <w:tab w:val="num" w:pos="4320"/>
        </w:tabs>
        <w:ind w:left="4320" w:hanging="360"/>
      </w:pPr>
      <w:rPr>
        <w:rFonts w:ascii="Times New Roman" w:hAnsi="Times New Roman" w:hint="default"/>
      </w:rPr>
    </w:lvl>
    <w:lvl w:ilvl="6" w:tplc="20C8206E" w:tentative="1">
      <w:start w:val="1"/>
      <w:numFmt w:val="bullet"/>
      <w:lvlText w:val="•"/>
      <w:lvlJc w:val="left"/>
      <w:pPr>
        <w:tabs>
          <w:tab w:val="num" w:pos="5040"/>
        </w:tabs>
        <w:ind w:left="5040" w:hanging="360"/>
      </w:pPr>
      <w:rPr>
        <w:rFonts w:ascii="Times New Roman" w:hAnsi="Times New Roman" w:hint="default"/>
      </w:rPr>
    </w:lvl>
    <w:lvl w:ilvl="7" w:tplc="905ECE96" w:tentative="1">
      <w:start w:val="1"/>
      <w:numFmt w:val="bullet"/>
      <w:lvlText w:val="•"/>
      <w:lvlJc w:val="left"/>
      <w:pPr>
        <w:tabs>
          <w:tab w:val="num" w:pos="5760"/>
        </w:tabs>
        <w:ind w:left="5760" w:hanging="360"/>
      </w:pPr>
      <w:rPr>
        <w:rFonts w:ascii="Times New Roman" w:hAnsi="Times New Roman" w:hint="default"/>
      </w:rPr>
    </w:lvl>
    <w:lvl w:ilvl="8" w:tplc="E9C4B0C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5244267"/>
    <w:multiLevelType w:val="hybridMultilevel"/>
    <w:tmpl w:val="49388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3"/>
  </w:num>
  <w:num w:numId="6">
    <w:abstractNumId w:val="12"/>
  </w:num>
  <w:num w:numId="7">
    <w:abstractNumId w:val="13"/>
  </w:num>
  <w:num w:numId="8">
    <w:abstractNumId w:val="11"/>
  </w:num>
  <w:num w:numId="9">
    <w:abstractNumId w:val="8"/>
  </w:num>
  <w:num w:numId="10">
    <w:abstractNumId w:val="4"/>
  </w:num>
  <w:num w:numId="11">
    <w:abstractNumId w:val="7"/>
  </w:num>
  <w:num w:numId="12">
    <w:abstractNumId w:val="10"/>
  </w:num>
  <w:num w:numId="13">
    <w:abstractNumId w:val="14"/>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38914"/>
  </w:hdrShapeDefaults>
  <w:footnotePr>
    <w:footnote w:id="-1"/>
    <w:footnote w:id="0"/>
  </w:footnotePr>
  <w:endnotePr>
    <w:endnote w:id="-1"/>
    <w:endnote w:id="0"/>
  </w:endnotePr>
  <w:compat/>
  <w:rsids>
    <w:rsidRoot w:val="00B855AE"/>
    <w:rsid w:val="00003AE3"/>
    <w:rsid w:val="00003C23"/>
    <w:rsid w:val="0001184B"/>
    <w:rsid w:val="00016382"/>
    <w:rsid w:val="000200A6"/>
    <w:rsid w:val="000253EB"/>
    <w:rsid w:val="00052C1F"/>
    <w:rsid w:val="0006441E"/>
    <w:rsid w:val="00064502"/>
    <w:rsid w:val="00081BD6"/>
    <w:rsid w:val="00086D8E"/>
    <w:rsid w:val="0009630B"/>
    <w:rsid w:val="000A004B"/>
    <w:rsid w:val="000A5E15"/>
    <w:rsid w:val="000B3388"/>
    <w:rsid w:val="000C7FA4"/>
    <w:rsid w:val="000D31B6"/>
    <w:rsid w:val="000D6050"/>
    <w:rsid w:val="000F4D5A"/>
    <w:rsid w:val="000F5C3F"/>
    <w:rsid w:val="00106514"/>
    <w:rsid w:val="001129A6"/>
    <w:rsid w:val="00113E07"/>
    <w:rsid w:val="00133086"/>
    <w:rsid w:val="001360F4"/>
    <w:rsid w:val="00136E3C"/>
    <w:rsid w:val="00146D36"/>
    <w:rsid w:val="00167600"/>
    <w:rsid w:val="00172A24"/>
    <w:rsid w:val="00174B8C"/>
    <w:rsid w:val="00177520"/>
    <w:rsid w:val="0018341B"/>
    <w:rsid w:val="001927D4"/>
    <w:rsid w:val="00195F95"/>
    <w:rsid w:val="001A6810"/>
    <w:rsid w:val="001B0967"/>
    <w:rsid w:val="001B10EC"/>
    <w:rsid w:val="001B4958"/>
    <w:rsid w:val="001B53CA"/>
    <w:rsid w:val="001C18F7"/>
    <w:rsid w:val="001D5614"/>
    <w:rsid w:val="001F2E6C"/>
    <w:rsid w:val="001F3B9A"/>
    <w:rsid w:val="00201876"/>
    <w:rsid w:val="00207FEE"/>
    <w:rsid w:val="0021047C"/>
    <w:rsid w:val="0021230E"/>
    <w:rsid w:val="00217CD4"/>
    <w:rsid w:val="00223C3A"/>
    <w:rsid w:val="00224721"/>
    <w:rsid w:val="00225E72"/>
    <w:rsid w:val="002329AD"/>
    <w:rsid w:val="00232B6A"/>
    <w:rsid w:val="00234B59"/>
    <w:rsid w:val="0024603A"/>
    <w:rsid w:val="002624AA"/>
    <w:rsid w:val="00270046"/>
    <w:rsid w:val="00276A6E"/>
    <w:rsid w:val="00282239"/>
    <w:rsid w:val="0028559D"/>
    <w:rsid w:val="0029378B"/>
    <w:rsid w:val="00295C0D"/>
    <w:rsid w:val="002B5152"/>
    <w:rsid w:val="002C5F25"/>
    <w:rsid w:val="002D0436"/>
    <w:rsid w:val="002E14C0"/>
    <w:rsid w:val="002E409B"/>
    <w:rsid w:val="002E40C1"/>
    <w:rsid w:val="00302D5B"/>
    <w:rsid w:val="00306484"/>
    <w:rsid w:val="00311123"/>
    <w:rsid w:val="00311D6A"/>
    <w:rsid w:val="00313B85"/>
    <w:rsid w:val="00321E35"/>
    <w:rsid w:val="00324B3F"/>
    <w:rsid w:val="003252DF"/>
    <w:rsid w:val="003340D0"/>
    <w:rsid w:val="00341067"/>
    <w:rsid w:val="003658D0"/>
    <w:rsid w:val="003721DB"/>
    <w:rsid w:val="0037697B"/>
    <w:rsid w:val="00382AA8"/>
    <w:rsid w:val="003839DB"/>
    <w:rsid w:val="00392FD6"/>
    <w:rsid w:val="00397BD3"/>
    <w:rsid w:val="003B1393"/>
    <w:rsid w:val="003B45E9"/>
    <w:rsid w:val="003E472B"/>
    <w:rsid w:val="003E6C31"/>
    <w:rsid w:val="00407F7A"/>
    <w:rsid w:val="00412013"/>
    <w:rsid w:val="00415DF7"/>
    <w:rsid w:val="004164C4"/>
    <w:rsid w:val="004375E0"/>
    <w:rsid w:val="004430DB"/>
    <w:rsid w:val="0044409B"/>
    <w:rsid w:val="0044618B"/>
    <w:rsid w:val="0044699A"/>
    <w:rsid w:val="004474A4"/>
    <w:rsid w:val="00465E9D"/>
    <w:rsid w:val="004677DE"/>
    <w:rsid w:val="00472B12"/>
    <w:rsid w:val="00473253"/>
    <w:rsid w:val="00490355"/>
    <w:rsid w:val="00490E30"/>
    <w:rsid w:val="004A00D2"/>
    <w:rsid w:val="004A3D06"/>
    <w:rsid w:val="004A5B29"/>
    <w:rsid w:val="004A6699"/>
    <w:rsid w:val="004B770B"/>
    <w:rsid w:val="004C0227"/>
    <w:rsid w:val="004C11AC"/>
    <w:rsid w:val="004C5F60"/>
    <w:rsid w:val="004D5121"/>
    <w:rsid w:val="004D6413"/>
    <w:rsid w:val="0051068A"/>
    <w:rsid w:val="00513CF3"/>
    <w:rsid w:val="00513EAA"/>
    <w:rsid w:val="00534421"/>
    <w:rsid w:val="00540AA4"/>
    <w:rsid w:val="005431C3"/>
    <w:rsid w:val="0055084D"/>
    <w:rsid w:val="00550A17"/>
    <w:rsid w:val="00555408"/>
    <w:rsid w:val="00557754"/>
    <w:rsid w:val="00561E42"/>
    <w:rsid w:val="00567F7F"/>
    <w:rsid w:val="005714DF"/>
    <w:rsid w:val="005778F4"/>
    <w:rsid w:val="005810E3"/>
    <w:rsid w:val="005A3627"/>
    <w:rsid w:val="005B2DA9"/>
    <w:rsid w:val="005C1E09"/>
    <w:rsid w:val="005E1D44"/>
    <w:rsid w:val="006105C3"/>
    <w:rsid w:val="006156A4"/>
    <w:rsid w:val="0062241C"/>
    <w:rsid w:val="00623274"/>
    <w:rsid w:val="006237B9"/>
    <w:rsid w:val="006245F6"/>
    <w:rsid w:val="00636B65"/>
    <w:rsid w:val="006543BF"/>
    <w:rsid w:val="00654BFC"/>
    <w:rsid w:val="00675E23"/>
    <w:rsid w:val="0068181E"/>
    <w:rsid w:val="00690E0D"/>
    <w:rsid w:val="006A2A54"/>
    <w:rsid w:val="006A2DCC"/>
    <w:rsid w:val="006B7F8B"/>
    <w:rsid w:val="006E5955"/>
    <w:rsid w:val="006F086C"/>
    <w:rsid w:val="006F6E12"/>
    <w:rsid w:val="006F7762"/>
    <w:rsid w:val="0070145A"/>
    <w:rsid w:val="00704213"/>
    <w:rsid w:val="007108F5"/>
    <w:rsid w:val="00724D34"/>
    <w:rsid w:val="00727BD6"/>
    <w:rsid w:val="00736FA6"/>
    <w:rsid w:val="0074060D"/>
    <w:rsid w:val="00747A58"/>
    <w:rsid w:val="00753439"/>
    <w:rsid w:val="0076696D"/>
    <w:rsid w:val="0077430F"/>
    <w:rsid w:val="007844F5"/>
    <w:rsid w:val="007850FD"/>
    <w:rsid w:val="00792B93"/>
    <w:rsid w:val="007A7DF3"/>
    <w:rsid w:val="007B15D4"/>
    <w:rsid w:val="007B2C60"/>
    <w:rsid w:val="007C02E7"/>
    <w:rsid w:val="007C06F3"/>
    <w:rsid w:val="007D1FBB"/>
    <w:rsid w:val="007E1746"/>
    <w:rsid w:val="007E4A0B"/>
    <w:rsid w:val="007E4C6F"/>
    <w:rsid w:val="007E64CF"/>
    <w:rsid w:val="007F2B59"/>
    <w:rsid w:val="00800E5F"/>
    <w:rsid w:val="008046A9"/>
    <w:rsid w:val="00806F50"/>
    <w:rsid w:val="00807A39"/>
    <w:rsid w:val="00815AEE"/>
    <w:rsid w:val="00815CBA"/>
    <w:rsid w:val="008331C7"/>
    <w:rsid w:val="0084484E"/>
    <w:rsid w:val="00845C3A"/>
    <w:rsid w:val="00845F79"/>
    <w:rsid w:val="008627D1"/>
    <w:rsid w:val="008801CA"/>
    <w:rsid w:val="00882B1F"/>
    <w:rsid w:val="008A0FEF"/>
    <w:rsid w:val="008C10C2"/>
    <w:rsid w:val="008C3F33"/>
    <w:rsid w:val="008D4399"/>
    <w:rsid w:val="008D71D5"/>
    <w:rsid w:val="00906402"/>
    <w:rsid w:val="0091169B"/>
    <w:rsid w:val="0091783C"/>
    <w:rsid w:val="0092436C"/>
    <w:rsid w:val="00924938"/>
    <w:rsid w:val="00925337"/>
    <w:rsid w:val="009460F0"/>
    <w:rsid w:val="00955885"/>
    <w:rsid w:val="00957BAE"/>
    <w:rsid w:val="00963761"/>
    <w:rsid w:val="00964926"/>
    <w:rsid w:val="00966FA1"/>
    <w:rsid w:val="0097104D"/>
    <w:rsid w:val="00975ABE"/>
    <w:rsid w:val="009B26FB"/>
    <w:rsid w:val="009C0EBC"/>
    <w:rsid w:val="009C1699"/>
    <w:rsid w:val="009C3D56"/>
    <w:rsid w:val="009C776D"/>
    <w:rsid w:val="009C7BFC"/>
    <w:rsid w:val="009F76A2"/>
    <w:rsid w:val="00A01324"/>
    <w:rsid w:val="00A074D9"/>
    <w:rsid w:val="00A12A14"/>
    <w:rsid w:val="00A1466C"/>
    <w:rsid w:val="00A279B1"/>
    <w:rsid w:val="00A27A9E"/>
    <w:rsid w:val="00A30E50"/>
    <w:rsid w:val="00A3128B"/>
    <w:rsid w:val="00A31BC2"/>
    <w:rsid w:val="00A425C2"/>
    <w:rsid w:val="00A43CCA"/>
    <w:rsid w:val="00A4744E"/>
    <w:rsid w:val="00A832E5"/>
    <w:rsid w:val="00A8369A"/>
    <w:rsid w:val="00A869BB"/>
    <w:rsid w:val="00A93A74"/>
    <w:rsid w:val="00AB1598"/>
    <w:rsid w:val="00AB5ADA"/>
    <w:rsid w:val="00AD2082"/>
    <w:rsid w:val="00AD3AA8"/>
    <w:rsid w:val="00AD4C25"/>
    <w:rsid w:val="00AD56C2"/>
    <w:rsid w:val="00AF0902"/>
    <w:rsid w:val="00AF0D3E"/>
    <w:rsid w:val="00AF2200"/>
    <w:rsid w:val="00AF5571"/>
    <w:rsid w:val="00AF5DBA"/>
    <w:rsid w:val="00B25748"/>
    <w:rsid w:val="00B25E88"/>
    <w:rsid w:val="00B35DA5"/>
    <w:rsid w:val="00B40B39"/>
    <w:rsid w:val="00B45406"/>
    <w:rsid w:val="00B60CED"/>
    <w:rsid w:val="00B722EE"/>
    <w:rsid w:val="00B8286E"/>
    <w:rsid w:val="00B855AE"/>
    <w:rsid w:val="00B979AF"/>
    <w:rsid w:val="00BA2411"/>
    <w:rsid w:val="00BA6C9D"/>
    <w:rsid w:val="00BC51BE"/>
    <w:rsid w:val="00BC72A0"/>
    <w:rsid w:val="00BE37D2"/>
    <w:rsid w:val="00C00AC7"/>
    <w:rsid w:val="00C21D20"/>
    <w:rsid w:val="00C2245D"/>
    <w:rsid w:val="00C3618F"/>
    <w:rsid w:val="00C45B18"/>
    <w:rsid w:val="00C54330"/>
    <w:rsid w:val="00C619FD"/>
    <w:rsid w:val="00C7124D"/>
    <w:rsid w:val="00C7738D"/>
    <w:rsid w:val="00C77DD7"/>
    <w:rsid w:val="00C82011"/>
    <w:rsid w:val="00C86BC0"/>
    <w:rsid w:val="00C911A2"/>
    <w:rsid w:val="00CA046F"/>
    <w:rsid w:val="00CA1724"/>
    <w:rsid w:val="00CA75F8"/>
    <w:rsid w:val="00CC15A3"/>
    <w:rsid w:val="00CD0C10"/>
    <w:rsid w:val="00CD214E"/>
    <w:rsid w:val="00CD5901"/>
    <w:rsid w:val="00CD6ECB"/>
    <w:rsid w:val="00CE3A53"/>
    <w:rsid w:val="00CE3B9C"/>
    <w:rsid w:val="00CE691A"/>
    <w:rsid w:val="00CE70FC"/>
    <w:rsid w:val="00CF04ED"/>
    <w:rsid w:val="00CF2574"/>
    <w:rsid w:val="00CF43A2"/>
    <w:rsid w:val="00CF78BD"/>
    <w:rsid w:val="00D035D7"/>
    <w:rsid w:val="00D12073"/>
    <w:rsid w:val="00D12355"/>
    <w:rsid w:val="00D12FA7"/>
    <w:rsid w:val="00D32176"/>
    <w:rsid w:val="00D4365F"/>
    <w:rsid w:val="00D54D8C"/>
    <w:rsid w:val="00D56C88"/>
    <w:rsid w:val="00D64D43"/>
    <w:rsid w:val="00D67B61"/>
    <w:rsid w:val="00D752AA"/>
    <w:rsid w:val="00D86EC9"/>
    <w:rsid w:val="00D872B1"/>
    <w:rsid w:val="00DB1722"/>
    <w:rsid w:val="00DB3281"/>
    <w:rsid w:val="00DC3698"/>
    <w:rsid w:val="00DC3818"/>
    <w:rsid w:val="00DC6C02"/>
    <w:rsid w:val="00DD4A3F"/>
    <w:rsid w:val="00E064BF"/>
    <w:rsid w:val="00E151AC"/>
    <w:rsid w:val="00E16A8E"/>
    <w:rsid w:val="00E24DBF"/>
    <w:rsid w:val="00E46D0F"/>
    <w:rsid w:val="00E82F11"/>
    <w:rsid w:val="00E91788"/>
    <w:rsid w:val="00E9321A"/>
    <w:rsid w:val="00E9429D"/>
    <w:rsid w:val="00EA5431"/>
    <w:rsid w:val="00EB158D"/>
    <w:rsid w:val="00EB58CF"/>
    <w:rsid w:val="00EB6C3A"/>
    <w:rsid w:val="00EF1E52"/>
    <w:rsid w:val="00EF380E"/>
    <w:rsid w:val="00EF6EB9"/>
    <w:rsid w:val="00F018FA"/>
    <w:rsid w:val="00F06587"/>
    <w:rsid w:val="00F1634D"/>
    <w:rsid w:val="00F17D91"/>
    <w:rsid w:val="00F20CE5"/>
    <w:rsid w:val="00F232EB"/>
    <w:rsid w:val="00F241AB"/>
    <w:rsid w:val="00F31816"/>
    <w:rsid w:val="00F31C3F"/>
    <w:rsid w:val="00F411C1"/>
    <w:rsid w:val="00F51ECF"/>
    <w:rsid w:val="00F52E02"/>
    <w:rsid w:val="00F53E6B"/>
    <w:rsid w:val="00F61DEB"/>
    <w:rsid w:val="00F65C7F"/>
    <w:rsid w:val="00F73D26"/>
    <w:rsid w:val="00F74CC8"/>
    <w:rsid w:val="00F816B2"/>
    <w:rsid w:val="00F90284"/>
    <w:rsid w:val="00FB6191"/>
    <w:rsid w:val="00FC34D8"/>
    <w:rsid w:val="00FD750D"/>
    <w:rsid w:val="00FE2657"/>
    <w:rsid w:val="00FF0DD9"/>
    <w:rsid w:val="00FF4A1A"/>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E69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691A"/>
    <w:rPr>
      <w:sz w:val="20"/>
      <w:szCs w:val="20"/>
    </w:rPr>
  </w:style>
  <w:style w:type="character" w:styleId="EndnoteReference">
    <w:name w:val="endnote reference"/>
    <w:basedOn w:val="DefaultParagraphFont"/>
    <w:uiPriority w:val="99"/>
    <w:semiHidden/>
    <w:unhideWhenUsed/>
    <w:rsid w:val="00CE691A"/>
    <w:rPr>
      <w:vertAlign w:val="superscript"/>
    </w:rPr>
  </w:style>
  <w:style w:type="paragraph" w:styleId="FootnoteText">
    <w:name w:val="footnote text"/>
    <w:basedOn w:val="Normal"/>
    <w:link w:val="FootnoteTextChar"/>
    <w:uiPriority w:val="99"/>
    <w:semiHidden/>
    <w:unhideWhenUsed/>
    <w:rsid w:val="00CE6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91A"/>
    <w:rPr>
      <w:sz w:val="20"/>
      <w:szCs w:val="20"/>
    </w:rPr>
  </w:style>
  <w:style w:type="character" w:styleId="FootnoteReference">
    <w:name w:val="footnote reference"/>
    <w:basedOn w:val="DefaultParagraphFont"/>
    <w:uiPriority w:val="99"/>
    <w:semiHidden/>
    <w:unhideWhenUsed/>
    <w:rsid w:val="00CE691A"/>
    <w:rPr>
      <w:vertAlign w:val="superscript"/>
    </w:rPr>
  </w:style>
  <w:style w:type="paragraph" w:styleId="ListParagraph">
    <w:name w:val="List Paragraph"/>
    <w:basedOn w:val="Normal"/>
    <w:uiPriority w:val="34"/>
    <w:qFormat/>
    <w:rsid w:val="0084484E"/>
    <w:pPr>
      <w:ind w:left="720"/>
      <w:contextualSpacing/>
    </w:pPr>
  </w:style>
  <w:style w:type="paragraph" w:styleId="BalloonText">
    <w:name w:val="Balloon Text"/>
    <w:basedOn w:val="Normal"/>
    <w:link w:val="BalloonTextChar"/>
    <w:uiPriority w:val="99"/>
    <w:semiHidden/>
    <w:unhideWhenUsed/>
    <w:rsid w:val="00623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274"/>
    <w:rPr>
      <w:rFonts w:ascii="Tahoma" w:hAnsi="Tahoma" w:cs="Tahoma"/>
      <w:sz w:val="16"/>
      <w:szCs w:val="16"/>
    </w:rPr>
  </w:style>
  <w:style w:type="table" w:styleId="TableGrid">
    <w:name w:val="Table Grid"/>
    <w:basedOn w:val="TableNormal"/>
    <w:uiPriority w:val="59"/>
    <w:rsid w:val="00623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2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30E"/>
  </w:style>
  <w:style w:type="paragraph" w:styleId="Footer">
    <w:name w:val="footer"/>
    <w:basedOn w:val="Normal"/>
    <w:link w:val="FooterChar"/>
    <w:uiPriority w:val="99"/>
    <w:unhideWhenUsed/>
    <w:rsid w:val="00212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30E"/>
  </w:style>
  <w:style w:type="character" w:styleId="Hyperlink">
    <w:name w:val="Hyperlink"/>
    <w:basedOn w:val="DefaultParagraphFont"/>
    <w:uiPriority w:val="99"/>
    <w:unhideWhenUsed/>
    <w:rsid w:val="00A425C2"/>
    <w:rPr>
      <w:color w:val="0000FF" w:themeColor="hyperlink"/>
      <w:u w:val="single"/>
    </w:rPr>
  </w:style>
  <w:style w:type="paragraph" w:styleId="NoSpacing">
    <w:name w:val="No Spacing"/>
    <w:uiPriority w:val="1"/>
    <w:qFormat/>
    <w:rsid w:val="0006441E"/>
    <w:pPr>
      <w:spacing w:after="0" w:line="240" w:lineRule="auto"/>
    </w:pPr>
  </w:style>
  <w:style w:type="paragraph" w:customStyle="1" w:styleId="BFDB239797424B1EBA6C4753EC568DC8">
    <w:name w:val="BFDB239797424B1EBA6C4753EC568DC8"/>
    <w:rsid w:val="003658D0"/>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421487436">
      <w:bodyDiv w:val="1"/>
      <w:marLeft w:val="0"/>
      <w:marRight w:val="0"/>
      <w:marTop w:val="0"/>
      <w:marBottom w:val="0"/>
      <w:divBdr>
        <w:top w:val="none" w:sz="0" w:space="0" w:color="auto"/>
        <w:left w:val="none" w:sz="0" w:space="0" w:color="auto"/>
        <w:bottom w:val="none" w:sz="0" w:space="0" w:color="auto"/>
        <w:right w:val="none" w:sz="0" w:space="0" w:color="auto"/>
      </w:divBdr>
      <w:divsChild>
        <w:div w:id="821235195">
          <w:marLeft w:val="547"/>
          <w:marRight w:val="0"/>
          <w:marTop w:val="115"/>
          <w:marBottom w:val="0"/>
          <w:divBdr>
            <w:top w:val="none" w:sz="0" w:space="0" w:color="auto"/>
            <w:left w:val="none" w:sz="0" w:space="0" w:color="auto"/>
            <w:bottom w:val="none" w:sz="0" w:space="0" w:color="auto"/>
            <w:right w:val="none" w:sz="0" w:space="0" w:color="auto"/>
          </w:divBdr>
        </w:div>
        <w:div w:id="1716000916">
          <w:marLeft w:val="547"/>
          <w:marRight w:val="0"/>
          <w:marTop w:val="115"/>
          <w:marBottom w:val="0"/>
          <w:divBdr>
            <w:top w:val="none" w:sz="0" w:space="0" w:color="auto"/>
            <w:left w:val="none" w:sz="0" w:space="0" w:color="auto"/>
            <w:bottom w:val="none" w:sz="0" w:space="0" w:color="auto"/>
            <w:right w:val="none" w:sz="0" w:space="0" w:color="auto"/>
          </w:divBdr>
        </w:div>
        <w:div w:id="1757244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www.wmo.int/pages/mediacentre/press_releases/pr_980_e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refiningnz.com" TargetMode="External"/><Relationship Id="rId2" Type="http://schemas.openxmlformats.org/officeDocument/2006/relationships/numbering" Target="numbering.xml"/><Relationship Id="rId16" Type="http://schemas.openxmlformats.org/officeDocument/2006/relationships/hyperlink" Target="http://www.afdc.energy.gov/fuels/ethanol_blends.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afdc.energy.gov/fuels/natural_gas.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B25EAA"/>
    <w:rsid w:val="00923B06"/>
    <w:rsid w:val="00B25EAA"/>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214FF166B24E92A543B229BDAF1291">
    <w:name w:val="DB214FF166B24E92A543B229BDAF1291"/>
    <w:rsid w:val="00B25EAA"/>
  </w:style>
  <w:style w:type="paragraph" w:customStyle="1" w:styleId="306EFF5256074DE1B4CF51C2DCE0D5C3">
    <w:name w:val="306EFF5256074DE1B4CF51C2DCE0D5C3"/>
    <w:rsid w:val="00B25EAA"/>
  </w:style>
  <w:style w:type="paragraph" w:customStyle="1" w:styleId="541E3B91A8514BE483F77D53DA9E5ED0">
    <w:name w:val="541E3B91A8514BE483F77D53DA9E5ED0"/>
    <w:rsid w:val="00B25EAA"/>
  </w:style>
  <w:style w:type="paragraph" w:customStyle="1" w:styleId="AEA58B642D6C4EBA9E896CA00D9FDE7F">
    <w:name w:val="AEA58B642D6C4EBA9E896CA00D9FDE7F"/>
    <w:rsid w:val="00B25EAA"/>
  </w:style>
  <w:style w:type="paragraph" w:customStyle="1" w:styleId="EE6AB80A12CF4BC9AFD17AB035CEDA40">
    <w:name w:val="EE6AB80A12CF4BC9AFD17AB035CEDA40"/>
    <w:rsid w:val="00B25EAA"/>
  </w:style>
  <w:style w:type="paragraph" w:customStyle="1" w:styleId="A481F92BC9B9407B9E0130923A083B0A">
    <w:name w:val="A481F92BC9B9407B9E0130923A083B0A"/>
    <w:rsid w:val="00B25EAA"/>
  </w:style>
  <w:style w:type="paragraph" w:customStyle="1" w:styleId="11ED40E2A22F48AA9BA66CAB7EFD2815">
    <w:name w:val="11ED40E2A22F48AA9BA66CAB7EFD2815"/>
    <w:rsid w:val="00B25EAA"/>
  </w:style>
  <w:style w:type="paragraph" w:customStyle="1" w:styleId="5219C03D1E544EE892F10F6E2407CBC2">
    <w:name w:val="5219C03D1E544EE892F10F6E2407CBC2"/>
    <w:rsid w:val="00B25EAA"/>
  </w:style>
  <w:style w:type="paragraph" w:customStyle="1" w:styleId="0F63DD6B934D4C3BA627C363A71E3FF6">
    <w:name w:val="0F63DD6B934D4C3BA627C363A71E3FF6"/>
    <w:rsid w:val="00B25EAA"/>
  </w:style>
  <w:style w:type="paragraph" w:customStyle="1" w:styleId="799689BD46B94866AF58D1431D61CF35">
    <w:name w:val="799689BD46B94866AF58D1431D61CF35"/>
    <w:rsid w:val="00B25EAA"/>
  </w:style>
  <w:style w:type="paragraph" w:customStyle="1" w:styleId="9F16B7D9F09E49369AD45B5DF280BB07">
    <w:name w:val="9F16B7D9F09E49369AD45B5DF280BB07"/>
    <w:rsid w:val="00B25E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18098-1EAA-45C5-8C73-21B8A28C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5606</Words>
  <Characters>31955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Rutherford</dc:creator>
  <cp:lastModifiedBy>Rutherford</cp:lastModifiedBy>
  <cp:revision>3</cp:revision>
  <cp:lastPrinted>2014-01-09T21:22:00Z</cp:lastPrinted>
  <dcterms:created xsi:type="dcterms:W3CDTF">2014-01-19T19:09:00Z</dcterms:created>
  <dcterms:modified xsi:type="dcterms:W3CDTF">2014-02-07T02:10:00Z</dcterms:modified>
</cp:coreProperties>
</file>